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rPr>
      </w:pPr>
      <w:r>
        <w:rPr>
          <w:rFonts w:hint="eastAsia" w:ascii="宋体" w:hAnsi="宋体"/>
          <w:bCs/>
          <w:sz w:val="30"/>
          <w:szCs w:val="30"/>
        </w:rPr>
        <w:t>项目名称：新疆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w:t>
      </w:r>
      <w:r>
        <w:rPr>
          <w:rFonts w:hint="eastAsia" w:ascii="宋体" w:hAnsi="宋体"/>
          <w:bCs/>
          <w:sz w:val="30"/>
          <w:szCs w:val="30"/>
          <w:lang w:eastAsia="zh-CN"/>
        </w:rPr>
        <w:t>数字校园试点校管理软件服务</w:t>
      </w:r>
      <w:r>
        <w:rPr>
          <w:rFonts w:hint="eastAsia" w:ascii="宋体" w:hAnsi="宋体"/>
          <w:bCs/>
          <w:sz w:val="30"/>
          <w:szCs w:val="30"/>
        </w:rPr>
        <w:t>项目</w:t>
      </w:r>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联系人：热依扎</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联系电话：19999480707</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二〇二三</w:t>
      </w:r>
      <w:r>
        <w:rPr>
          <w:rFonts w:hint="eastAsia" w:asciiTheme="minorEastAsia" w:hAnsiTheme="minorEastAsia" w:cstheme="minorEastAsia"/>
          <w:sz w:val="30"/>
          <w:szCs w:val="30"/>
          <w:lang w:eastAsia="zh-CN"/>
        </w:rPr>
        <w:t>年十一</w:t>
      </w:r>
      <w:r>
        <w:rPr>
          <w:rFonts w:hint="eastAsia" w:asciiTheme="minorEastAsia" w:hAnsiTheme="minorEastAsia" w:cstheme="minorEastAsia"/>
          <w:sz w:val="30"/>
          <w:szCs w:val="30"/>
        </w:rPr>
        <w:t>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spacing w:after="120" w:afterLines="50" w:line="42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一、项目名称：</w:t>
      </w:r>
      <w:r>
        <w:rPr>
          <w:rFonts w:hint="eastAsia" w:asciiTheme="minorEastAsia" w:hAnsiTheme="minorEastAsia" w:eastAsiaTheme="minorEastAsia" w:cstheme="minorEastAsia"/>
          <w:bCs/>
          <w:sz w:val="24"/>
        </w:rPr>
        <w:t>新疆</w:t>
      </w:r>
      <w:r>
        <w:rPr>
          <w:rFonts w:hint="eastAsia" w:asciiTheme="minorEastAsia" w:hAnsiTheme="minorEastAsia" w:eastAsiaTheme="minorEastAsia" w:cstheme="minorEastAsia"/>
          <w:bCs/>
          <w:sz w:val="24"/>
          <w:lang w:eastAsia="zh-CN"/>
        </w:rPr>
        <w:t>师范高等</w:t>
      </w:r>
      <w:r>
        <w:rPr>
          <w:rFonts w:hint="eastAsia" w:asciiTheme="minorEastAsia" w:hAnsiTheme="minorEastAsia" w:eastAsiaTheme="minorEastAsia" w:cstheme="minorEastAsia"/>
          <w:bCs/>
          <w:sz w:val="24"/>
        </w:rPr>
        <w:t>专科学校（</w:t>
      </w:r>
      <w:r>
        <w:rPr>
          <w:rFonts w:hint="eastAsia" w:asciiTheme="minorEastAsia" w:hAnsiTheme="minorEastAsia" w:eastAsiaTheme="minorEastAsia" w:cstheme="minorEastAsia"/>
          <w:bCs/>
          <w:sz w:val="24"/>
          <w:lang w:eastAsia="zh-CN"/>
        </w:rPr>
        <w:t>新疆教育学院</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lang w:eastAsia="zh-CN"/>
        </w:rPr>
        <w:t>数字校园试点校管理软件服务</w:t>
      </w:r>
      <w:r>
        <w:rPr>
          <w:rFonts w:hint="eastAsia" w:asciiTheme="minorEastAsia" w:hAnsiTheme="minorEastAsia" w:eastAsiaTheme="minorEastAsia" w:cstheme="minorEastAsia"/>
          <w:bCs/>
          <w:sz w:val="24"/>
        </w:rPr>
        <w:t>项目</w:t>
      </w:r>
    </w:p>
    <w:p>
      <w:p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二、项目概况</w:t>
      </w:r>
    </w:p>
    <w:p>
      <w:pPr>
        <w:spacing w:line="360" w:lineRule="auto"/>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bookmarkStart w:id="0" w:name="_Toc248087239"/>
      <w:bookmarkStart w:id="1" w:name="_Toc260725185"/>
      <w:bookmarkStart w:id="2" w:name="_Toc141006965"/>
      <w:r>
        <w:rPr>
          <w:rFonts w:hint="eastAsia" w:asciiTheme="minorEastAsia" w:hAnsiTheme="minorEastAsia" w:eastAsiaTheme="minorEastAsia" w:cstheme="minorEastAsia"/>
          <w:sz w:val="24"/>
        </w:rPr>
        <w:t>为了进一步提高我校数字校园试点校数据报送工作效率，我校拟建设数字校园试点校管理软件</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实现</w:t>
      </w:r>
      <w:r>
        <w:rPr>
          <w:rFonts w:hint="eastAsia" w:asciiTheme="minorEastAsia" w:hAnsiTheme="minorEastAsia" w:eastAsiaTheme="minorEastAsia" w:cstheme="minorEastAsia"/>
          <w:sz w:val="24"/>
        </w:rPr>
        <w:t>职教大脑数据上报</w:t>
      </w:r>
      <w:r>
        <w:rPr>
          <w:rFonts w:hint="eastAsia" w:asciiTheme="minorEastAsia" w:hAnsiTheme="minorEastAsia" w:eastAsiaTheme="minorEastAsia" w:cstheme="minorEastAsia"/>
          <w:sz w:val="24"/>
          <w:lang w:val="en-US" w:eastAsia="zh-CN"/>
        </w:rPr>
        <w:t>管理工作，</w:t>
      </w:r>
      <w:r>
        <w:rPr>
          <w:rFonts w:hint="eastAsia" w:asciiTheme="minorEastAsia" w:hAnsiTheme="minorEastAsia" w:eastAsiaTheme="minorEastAsia" w:cstheme="minorEastAsia"/>
          <w:sz w:val="24"/>
        </w:rPr>
        <w:t>保障报送数据的质量，需要将上报工作与我校诊改平台相结合，以报送数据标准作为诊断指标，并且提供常态化诊断改进机制及多维度预警分析服务，提升上报数据质量，促进我校内部信息化建设，也为后续全校数据治理体系奠定坚实基础。</w:t>
      </w:r>
      <w:bookmarkEnd w:id="0"/>
      <w:bookmarkEnd w:id="1"/>
      <w:bookmarkEnd w:id="2"/>
    </w:p>
    <w:p>
      <w:pPr>
        <w:snapToGrid w:val="0"/>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供货地点：</w:t>
      </w:r>
      <w:r>
        <w:rPr>
          <w:rFonts w:hint="eastAsia" w:asciiTheme="minorEastAsia" w:hAnsiTheme="minorEastAsia" w:eastAsiaTheme="minorEastAsia" w:cstheme="minorEastAsia"/>
          <w:color w:val="auto"/>
          <w:kern w:val="0"/>
          <w:sz w:val="24"/>
        </w:rPr>
        <w:t>采购人指定地点。</w:t>
      </w:r>
    </w:p>
    <w:p>
      <w:pPr>
        <w:numPr>
          <w:ilvl w:val="0"/>
          <w:numId w:val="2"/>
        </w:num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采购预算：</w:t>
      </w:r>
      <w:r>
        <w:rPr>
          <w:rFonts w:hint="eastAsia" w:asciiTheme="minorEastAsia" w:hAnsiTheme="minorEastAsia" w:eastAsiaTheme="minorEastAsia" w:cstheme="minorEastAsia"/>
          <w:bCs/>
          <w:color w:val="auto"/>
          <w:sz w:val="24"/>
          <w:lang w:val="en-US" w:eastAsia="zh-CN"/>
        </w:rPr>
        <w:t>490000</w:t>
      </w:r>
      <w:r>
        <w:rPr>
          <w:rFonts w:hint="eastAsia" w:asciiTheme="minorEastAsia" w:hAnsiTheme="minorEastAsia" w:eastAsiaTheme="minorEastAsia" w:cstheme="minorEastAsia"/>
          <w:bCs/>
          <w:color w:val="auto"/>
          <w:sz w:val="24"/>
        </w:rPr>
        <w:t>元</w:t>
      </w:r>
    </w:p>
    <w:p>
      <w:pPr>
        <w:spacing w:line="360" w:lineRule="auto"/>
        <w:ind w:firstLine="480" w:firstLineChars="200"/>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4、供货时间：</w:t>
      </w:r>
      <w:r>
        <w:rPr>
          <w:rFonts w:hint="eastAsia" w:asciiTheme="minorEastAsia" w:hAnsiTheme="minorEastAsia" w:eastAsiaTheme="minorEastAsia" w:cstheme="minorEastAsia"/>
          <w:color w:val="auto"/>
          <w:sz w:val="24"/>
          <w:highlight w:val="none"/>
        </w:rPr>
        <w:t>合同签订后90日内</w:t>
      </w:r>
    </w:p>
    <w:p>
      <w:pPr>
        <w:spacing w:before="120" w:beforeLines="50" w:after="120" w:afterLines="50" w:line="420" w:lineRule="exac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三、采购需求</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rPr>
        <w:t>（一）</w:t>
      </w:r>
      <w:r>
        <w:rPr>
          <w:rFonts w:hint="eastAsia" w:asciiTheme="minorEastAsia" w:hAnsiTheme="minorEastAsia" w:eastAsiaTheme="minorEastAsia" w:cstheme="minorEastAsia"/>
          <w:sz w:val="24"/>
          <w:szCs w:val="24"/>
        </w:rPr>
        <w:t>建设背景及目标</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为贯彻全国职业教育大会精神，落实《关于推动现代职业教育高质量发展的意见》、《职业教育提质培优行动计划(2020—2023年）》和教育数字化转型战略总体部署，推进职业教育数字化转型，进一步提高我校数字校园试点校数据报送工作效率，我校拟建设数字校园试点校管理软件</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以“一站式、智能化”为建设定位，</w:t>
      </w:r>
      <w:r>
        <w:rPr>
          <w:rFonts w:hint="eastAsia" w:asciiTheme="minorEastAsia" w:hAnsiTheme="minorEastAsia" w:eastAsiaTheme="minorEastAsia" w:cstheme="minorEastAsia"/>
          <w:sz w:val="24"/>
          <w:lang w:val="en-US" w:eastAsia="zh-CN"/>
        </w:rPr>
        <w:t>实现</w:t>
      </w:r>
      <w:r>
        <w:rPr>
          <w:rFonts w:hint="eastAsia" w:asciiTheme="minorEastAsia" w:hAnsiTheme="minorEastAsia" w:eastAsiaTheme="minorEastAsia" w:cstheme="minorEastAsia"/>
          <w:sz w:val="24"/>
        </w:rPr>
        <w:t>职教大脑数据上报</w:t>
      </w:r>
      <w:r>
        <w:rPr>
          <w:rFonts w:hint="eastAsia" w:asciiTheme="minorEastAsia" w:hAnsiTheme="minorEastAsia" w:eastAsiaTheme="minorEastAsia" w:cstheme="minorEastAsia"/>
          <w:sz w:val="24"/>
          <w:lang w:val="en-US" w:eastAsia="zh-CN"/>
        </w:rPr>
        <w:t>管理工作，</w:t>
      </w:r>
      <w:r>
        <w:rPr>
          <w:rFonts w:hint="eastAsia" w:asciiTheme="minorEastAsia" w:hAnsiTheme="minorEastAsia" w:eastAsiaTheme="minorEastAsia" w:cstheme="minorEastAsia"/>
          <w:sz w:val="24"/>
        </w:rPr>
        <w:t>保障报送数据的质量，需要将上报工作与我校诊改平台相结合，以报送数据标准作为诊断指标，并且提供常态化诊断改进机制及多维度预警分析服务，提升上报数据质量，促进我校内部信息化建设，也为后续全校数据治理体系奠定坚实基础。</w:t>
      </w:r>
    </w:p>
    <w:p>
      <w:pPr>
        <w:pStyle w:val="6"/>
        <w:rPr>
          <w:rFonts w:hint="eastAsia" w:asciiTheme="minorEastAsia" w:hAnsiTheme="minorEastAsia" w:eastAsiaTheme="minorEastAsia" w:cstheme="minorEastAsia"/>
          <w:sz w:val="24"/>
        </w:rPr>
      </w:pP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b/>
          <w:kern w:val="0"/>
          <w:sz w:val="24"/>
          <w:lang w:val="en-US" w:eastAsia="zh-CN"/>
        </w:rPr>
        <w:t>二</w:t>
      </w: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sz w:val="24"/>
          <w:szCs w:val="24"/>
        </w:rPr>
        <w:t>技术要求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1、需采用行业领先SpringCloud微服务架构，基于容器技术，实现开箱即用、开发自运维、全流程全视图，极速升级、业务快速迭代等，提高开发交付效率。</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2、能够实现平台的开放式结构；能够基于容器平台监控及分析微服务运行状况。要求提供容器管理平台相关自主知识产权证明。</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3、能够基于容器平台查看主机状态及信息，并监控实例的详细信息。提供第三方检测机构出具的测评报告中关键页复印件并加盖原厂公章证明以上要求的真实性。</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b/>
          <w:kern w:val="0"/>
          <w:sz w:val="24"/>
          <w:lang w:val="en-US" w:eastAsia="zh-CN"/>
        </w:rPr>
        <w:t>三</w:t>
      </w: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sz w:val="24"/>
          <w:szCs w:val="24"/>
        </w:rPr>
        <w:t>功能需求</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系统管理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1、在授权管理页面输入学校账号、密码等信息保存后，即可测试上报并反馈测试结果。</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2、提供系统设置功能。支持自定义上传系统logo，更改系统名称与页脚信息。</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3、支持开启大数据量分批提交，降低数据上报速度，以防止ip被封。</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4、提供操作日志功能。可查询并展示平台访问信息，包括用户名、ip、登录时间、操作次数等。支持查看操作详情，查询并展示每条操作记录的功能模块、操作项、操作详情等信息。</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5、提供调度策略管理功能。支持查询并展示调度策略，支持新增、修改、（批量）删除调度策略记录，可配置调度表达式与调度状态。</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6、支持查看系统历次版本迭代内容。</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数据管理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1、提供数据导入功能。选择数据表，可以按照该数据表对应的模板上传文件，一键批量导入excel格式的数据。如果还没有模板，可先下载所选数据表的模板再上传。</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提供一键下载所有数据集的模板的功能。模板已内置好每张数据表的表头，表头做冻结处理，备注好相应的填写规则。对于引用代码的数据项，支持下拉单选相应的代码描述（文字），也支持输入代码值（数字），上报时系统会统一转义为代码值。</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提供数据集模型的配置功能，系统已内置好教育部文件中所规定的数据集与数据标准。支持查询、新增、修改、删除数据目录、数据表或数据项，并展示相应记录。支持配置数据表的来源部门、填报人、是否开启数据复核等。支持配置数据项、是否主键、类型、长度、约束等。</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4、提供代码集模型的配置功能，系统已内置好教育部文件中所规定的代码。支持查询、新增、修改、删除代码，并展示相应记录。支持配置代码集的代码描述与代码值。</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数据质量</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1、支持通过设置核验规则，检查数据集格式的完整性与准确性，生成核验报告，并自动给各来源部门下发针对异常数据的补录任务。</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支持两种数据质量核验的方式，包括自动核验与手动核验。从数据导入（包括数据管理中的数据后台导入与数据采集中的数据导入）方式进入的数据集平台会自动进行质量检测，并给各部门下发针对异常数据的补录任务。从数据同步方式进入平台的数据集，则需要手动触发核验。手动核验时可选择特定的数据表与核验规则，核验过程中显示核验进度，核验完毕后出具核验报告，并支持查看与导出异常数据明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支持查看数据核验后的整体预警信息。查看预警表数（核验有问题的表数量）、部门数（核验涉及到的业务部门数）、监控表数（总共核验的数据表数量）、监控字段数（总共核验的字段数量）、数据总量（总共核验的数据项数量）。</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支持查看每一张数据表的详细核验报告。包括总字段、总记录、问题记录的条数，数据饱和度、总体合格率、来源部门与校验时间。支持按照合格率与校验时间两种方式对核验报告排序。支持查看与导出异常数据明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5、支持查看核验报告的字段详情。选择某数据表，可展开显示所有数据项信息，包括每个数据项具体的检验数、问题数、合格率等信息。</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6、支持查看核验历史，记录每一次核验操作的核验时间、核验类型、核验规则、核验表数、核验记录数与问题记录数。支持选择时间区间查询核验历史记录。</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数据采集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1、从数据预警核验后的数据流入数据采集模块进行处理。系统会自动将核验的异常数据（标记为红色色块），自动下发给该数据表的负责部门与负责人进行修改补录操作。</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2、查看所选数据表的数据。选择某数据表，可切换待提交与已提交tab页，并查看相应状态下该表的数据。</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提供异常信息提示。每张数据表中经过质量核验后，系统会用红点在表名后自动标注待处理的异常数据的数量，该数量随着修改实时变化，并置顶表格中所有异常记录，标红所有的异常数据字段。将鼠标移入到数据表中被标红显示的字段，有气泡显示提示信息，告知用户问题类型。</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4、支持实时查看补录进度。对于有异常数据的数据表，显示补录进度条，进度条会随着修改操作动态变化。</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5、支持在线新增单条数据，保存时会做格式校验，未通过不予保存。</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6、支持批量导入数据，选择某张数据表，可上传excel文件，如果还没有模板，可以先下载模板，再一键导入数据。</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7、支持导出数据。勾选数据，将所选数据导出为excel格式。如果用户未勾选任何记录，则系统默认导出该表当前的所有记录。</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8、支持在每条记录上增加数据来源标记，以第一次进入平台的来源为准，分别对应三种数据采集方式：数据同步、数据导入、数据补录。并且可以针对不同数据来源做数据筛选。</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9、支持删除与修改单条数据，支持批量删除多条数据。</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10、支持在已提交tab页，撤回还没有被学校审核的数据，修改后可以重新提交。</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11、若有被部门审核退回或学校审核退回的数据，支持查看审核意见，可以修改后重新提交该数据。</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12、支持根据数据来源，数据状态对表内数据进行筛选和排序。</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13、提供提交数据操作。勾选记录，点击提交数据，将数据由“待提交”状态转变为“已提交”状态，进入下一环节。如果用户未勾选任何记录，则系统默认勾选该表当前的所有记录。</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14、支持查看提交记录。可查看所选数据表的历史提交记录列表，包括提交数量、操作时间、操作人，并支持查看具体提交的数据记录。</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15、支持同步与查看已提交数据的后续数据状态信息。</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诊改审核</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求将上报工作与我校现有诊改平台相结合，以报送数据标准在诊改自定义为指标质控点，将上报数据导入诊改平台数据仓库，根据对应的上报标准指标库进行诊断数据分析后，实时计算出每个指标对应的结果值，根据结果数据可以进行数据对比分析，以便于后续的改进。要求提供上述过程的详细说明文档以及具备诊改工作能力的相关证明文件。</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改进合格的数据方可通过上报平台进行数据上报审核。审核要求如下：</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支持部门审核人审核数据，勾选数据选择通过或退回，通过就将数据流转到下一个环节。勾选记录，点击审核通过，将数据由“待审核”状态转变为“已审核”状态。如果用户未勾选任何记录，则系统默认勾选该表当前的所有记录。退回时要填写审核意见，将数据退回到数据采集模块交给部门采集人员进行修改后重新提交。</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2、若有被学校审核退回的数据，支持查看审核意见。</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3、支持新增单条数据，保存时会做格式校验，未通过不予保存。</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4、支持修改或删除单条数据记录。支持批量删除多条数据记录。</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5、支持根据数据状态对表内数据进行筛选。</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6、支持查看审核记录。可查看所选数据表的历史审核记录列表，包括审核数量、操作时间、操作人，并支持查看审核具体的数据记录。</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数据复核</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1、支持学校复核人员复核数据，勾选数据选择通过或退回，通过就将数据流转到下一个环节。退回时要填写审核意见，将数据退回到数据采集模块交给部门采集人员进行修改后重新提交。</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2、支持导出数据，勾选数据，将所选数据导出为excel格式。如果用户未勾选任何记录，则系统默认导出该表当前的所有记录。</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3、支持对数据表进行过滤，默认开启“只显示需复核的数据表”开关，表示过滤显示模型配置中开启数据复核开关的数据表。可点击关闭过滤。</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4、支持切换到采集数据tab页，查看数据采集模块采集的所有数据。</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5、支持查看复核记录。可查看所选数据表的历史复核记录列表，包括复核数量、操作时间、操作人，并支持查看复核具体的数据记录。</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上报管理</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1、将上报表封装成数据接口，提供需要上报的数据集的API接口读取服务，同时支持多个接口批量上报。</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显示所有数据表的上报情况，包括数据表名称、推送数量、入库数量、类型、上报状态。上报状态分为“待上报”、“上报受理中”、“上报失败”、“上报成功”、“空数据”五种情况。“上报成功”状态表示该表数据已成功上报给教育部。“上报失败”会提示原因。当数据表处于“上报受理中”时，若长时间未反馈可点击刷新重新查询一次。</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3、支持上报单个数据表或批量上报多个数据表。</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4、支持查看某数据表本次上报的具体数据，以及历史上报情况。</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5、支持通过输入表名、上报时间、上报状态筛选并查看上报信息列表。</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支持对已上报数据进行统计分析，帮助学校直观地查看当前的数据上报情况。支持查看整体上报数据情况：今日上报数据表（当天上报成功的数据表张数）、今日上报数据量（当天上报成功的数据记录条数）、累计上报总次数（所有表加起来上报成功的总次数）、累计上报数据量（所有表加起来上报成功的数据量）。</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支持以列表的形式查看已上报数据表的上报情况，包括首次上报时间、末次上报时间、累计上报次数、已上报数据量、首次上报数据量、累计新增数据量。支持对列表进行数据量或者时间进行排序。支持导出当前列表信息。</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8、支持查看所有数据表或者所选数据表的上报数据量随时间变化、上报次数随时间变化的折线图。可选择近1周、近1月、近3月、近6月、近1年、自定义六种时间范围。支持以png格式下载当前统计图。</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9、支持以已成功上报数据与采集数据两种维度进行统计，展示所选全部或某一数据表的来自数据同步、数据导入、数据补录的数据量与所占比例。</w:t>
      </w:r>
    </w:p>
    <w:p>
      <w:pPr>
        <w:pStyle w:val="2"/>
        <w:tabs>
          <w:tab w:val="left" w:pos="705"/>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消息通知</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支持对于不同角色在数据流转的不同环节发送消息提醒。消息通知分三种：待处理消息、审批消息、报警消息，结合权限控制，给不同角色分发不同的消息通知。</w:t>
      </w:r>
    </w:p>
    <w:p>
      <w:pPr>
        <w:pStyle w:val="4"/>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b/>
          <w:kern w:val="0"/>
          <w:sz w:val="24"/>
          <w:lang w:val="en-US" w:eastAsia="zh-CN"/>
        </w:rPr>
        <w:t>四</w:t>
      </w: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sz w:val="24"/>
          <w:szCs w:val="24"/>
        </w:rPr>
        <w:t>项目实施、售后、安装要求</w:t>
      </w:r>
    </w:p>
    <w:p>
      <w:pPr>
        <w:spacing w:line="360" w:lineRule="auto"/>
        <w:ind w:firstLine="42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1）总体要求：中标人提供系统实施方案详细、突出重点、功能模块设计全面、合理。功能实现路径科学、规范、可行性强。能够完全满足采购人项目建设需要。与学校现有诊改平台实现无缝对接，</w:t>
      </w:r>
      <w:r>
        <w:rPr>
          <w:rFonts w:hint="eastAsia" w:asciiTheme="minorEastAsia" w:hAnsiTheme="minorEastAsia" w:eastAsiaTheme="minorEastAsia" w:cstheme="minorEastAsia"/>
          <w:sz w:val="24"/>
          <w:lang w:val="en-US" w:eastAsia="zh-CN"/>
        </w:rPr>
        <w:t>实施过程中，为达成项目目标，产生的所有费用均有中标方承担，费用不限于信息技术服务费、接口对接费等。</w:t>
      </w:r>
    </w:p>
    <w:p>
      <w:pPr>
        <w:spacing w:line="360" w:lineRule="auto"/>
        <w:ind w:firstLine="42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2）人员配置要求：中标人为本项目提供的人员数量充足、经验丰富、人员分配科学合理、岗位职责分工详细明确。能够完全满足采购人项目建设需要。</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3）进度计划要求：要求在合同签订后90日内完成开发、实施、测试及试运行，如达到验收标准则组织验收。中标人为本项目提</w:t>
      </w:r>
      <w:r>
        <w:rPr>
          <w:rFonts w:hint="eastAsia" w:asciiTheme="minorEastAsia" w:hAnsiTheme="minorEastAsia" w:eastAsiaTheme="minorEastAsia" w:cstheme="minorEastAsia"/>
          <w:sz w:val="24"/>
        </w:rPr>
        <w:t>供的进度计划安排内容完整、安排合理、切实可行，提供具有详细的项目里程碑。</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软件部署及安装要求：中标人为本项目提供所有智慧校园平台软件系统的部署与安装、调试和已有应用系统集成及后期维护服务的全部内容，软件系统的部署安装的主要目标不仅是使所有软件能够在相应平台上正常运行，而且具有对软件系统运行的监控测试手段，以证明系统优化运行。提供的软件部署及安装方案能够完全满足采购人建设需要。中标人负责迁移采购人现有平台数据到所投产品</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供应商需提供数据对接服务和数据迁移承诺函并加盖公章，以确保成功接入教育部数据中心。</w:t>
      </w:r>
    </w:p>
    <w:p>
      <w:pPr>
        <w:spacing w:line="360" w:lineRule="auto"/>
        <w:ind w:firstLine="42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rPr>
        <w:t>5）软件测试计划：软件系统安装的主要目标不仅是使所有软件能够在相应平台上正常运行，而且具有对软件系统运行的</w:t>
      </w:r>
      <w:r>
        <w:rPr>
          <w:rFonts w:hint="eastAsia" w:asciiTheme="minorEastAsia" w:hAnsiTheme="minorEastAsia" w:eastAsiaTheme="minorEastAsia" w:cstheme="minorEastAsia"/>
          <w:sz w:val="24"/>
          <w:highlight w:val="none"/>
        </w:rPr>
        <w:t>监控测试手段，以证明系统优化运行。要求中标人承诺使项目单位的系统达到以上目标。提供的软件测试计划能够完全满足采购人建设需要。</w:t>
      </w:r>
    </w:p>
    <w:p>
      <w:pPr>
        <w:spacing w:line="360" w:lineRule="auto"/>
        <w:ind w:firstLine="420"/>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6）售后服务：中标人在项目终验后，必须提供三年的维护期，在维护期内，提供应用系统版本免费升级及对软件进行维护和完善，费用计入投标总价；要求提供完整、详细的售后服务方案，承诺响应及时、售后措施完善、有针对性，能够完全满足采购人实际需要。</w:t>
      </w:r>
    </w:p>
    <w:p>
      <w:pPr>
        <w:spacing w:line="360" w:lineRule="auto"/>
        <w:ind w:firstLine="42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highlight w:val="none"/>
        </w:rPr>
        <w:t>7）培训计划：中标人在实施过程中提供免费、全面的培训，包括面向系统管理员和业务人员的相应的培训、基于系统平台接口规范标</w:t>
      </w:r>
      <w:r>
        <w:rPr>
          <w:rFonts w:hint="eastAsia" w:asciiTheme="minorEastAsia" w:hAnsiTheme="minorEastAsia" w:eastAsiaTheme="minorEastAsia" w:cstheme="minorEastAsia"/>
          <w:sz w:val="24"/>
        </w:rPr>
        <w:t>准的二次开发培训、开发平台和开发工具培训、配置管理和系统维护培训、数据定义和管理培训、客户端操作培训。要求提供完整、详细的培训方案，培训计划安排科学、合理，有针对性，能够完全满足采购人实际需要。</w:t>
      </w:r>
    </w:p>
    <w:p>
      <w:pPr>
        <w:pStyle w:val="4"/>
        <w:spacing w:line="360" w:lineRule="auto"/>
        <w:rPr>
          <w:rFonts w:hint="eastAsia" w:asciiTheme="minorEastAsia" w:hAnsiTheme="minorEastAsia" w:eastAsiaTheme="minorEastAsia" w:cstheme="minorEastAsia"/>
          <w:sz w:val="24"/>
          <w:szCs w:val="24"/>
          <w:lang w:val="zh-CN"/>
        </w:rPr>
      </w:pPr>
      <w:bookmarkStart w:id="3" w:name="_Toc15255"/>
      <w:bookmarkStart w:id="4" w:name="_Toc8418"/>
      <w:bookmarkStart w:id="5" w:name="_Toc26288"/>
      <w:bookmarkStart w:id="6" w:name="_Toc22852"/>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b/>
          <w:kern w:val="0"/>
          <w:sz w:val="24"/>
          <w:lang w:val="en-US" w:eastAsia="zh-CN"/>
        </w:rPr>
        <w:t>五</w:t>
      </w:r>
      <w:r>
        <w:rPr>
          <w:rFonts w:hint="eastAsia" w:asciiTheme="minorEastAsia" w:hAnsiTheme="minorEastAsia" w:eastAsiaTheme="minorEastAsia" w:cstheme="minorEastAsia"/>
          <w:b/>
          <w:kern w:val="0"/>
          <w:sz w:val="24"/>
        </w:rPr>
        <w:t>）</w:t>
      </w:r>
      <w:r>
        <w:rPr>
          <w:rFonts w:hint="eastAsia" w:asciiTheme="minorEastAsia" w:hAnsiTheme="minorEastAsia" w:eastAsiaTheme="minorEastAsia" w:cstheme="minorEastAsia"/>
          <w:sz w:val="24"/>
          <w:szCs w:val="24"/>
        </w:rPr>
        <w:t>项目商务要求</w:t>
      </w:r>
      <w:bookmarkEnd w:id="3"/>
      <w:bookmarkEnd w:id="4"/>
      <w:bookmarkEnd w:id="5"/>
      <w:bookmarkEnd w:id="6"/>
    </w:p>
    <w:p>
      <w:pPr>
        <w:pStyle w:val="2"/>
        <w:tabs>
          <w:tab w:val="left" w:pos="705"/>
        </w:tabs>
        <w:spacing w:line="360" w:lineRule="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rPr>
        <w:t>质保服务</w:t>
      </w:r>
      <w:r>
        <w:rPr>
          <w:rFonts w:hint="eastAsia" w:asciiTheme="minorEastAsia" w:hAnsiTheme="minorEastAsia" w:eastAsiaTheme="minorEastAsia" w:cstheme="minorEastAsia"/>
          <w:sz w:val="24"/>
          <w:szCs w:val="24"/>
          <w:lang w:val="zh-CN"/>
        </w:rPr>
        <w:t>时间</w:t>
      </w:r>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免费质保36个月，从甲方验收合格之日起计。</w:t>
      </w:r>
    </w:p>
    <w:p>
      <w:pPr>
        <w:pStyle w:val="2"/>
        <w:tabs>
          <w:tab w:val="left" w:pos="705"/>
        </w:tabs>
        <w:spacing w:line="360" w:lineRule="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服务地点</w:t>
      </w:r>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采购人指定地点。</w:t>
      </w:r>
    </w:p>
    <w:p>
      <w:pPr>
        <w:pStyle w:val="2"/>
        <w:tabs>
          <w:tab w:val="left" w:pos="705"/>
        </w:tabs>
        <w:spacing w:line="360" w:lineRule="auto"/>
        <w:rPr>
          <w:rFonts w:hint="eastAsia" w:asciiTheme="minorEastAsia" w:hAnsiTheme="minorEastAsia" w:eastAsiaTheme="minorEastAsia" w:cstheme="minorEastAsia"/>
          <w:sz w:val="24"/>
          <w:szCs w:val="24"/>
          <w:lang w:val="zh-CN"/>
        </w:rPr>
      </w:pPr>
      <w:bookmarkStart w:id="7" w:name="_Toc23216"/>
      <w:bookmarkStart w:id="8" w:name="_Toc12915"/>
      <w:r>
        <w:rPr>
          <w:rFonts w:hint="eastAsia" w:asciiTheme="minorEastAsia" w:hAnsiTheme="minorEastAsia" w:eastAsiaTheme="minorEastAsia" w:cstheme="minorEastAsia"/>
          <w:sz w:val="24"/>
          <w:szCs w:val="24"/>
          <w:lang w:val="zh-CN"/>
        </w:rPr>
        <w:t>付款方式</w:t>
      </w:r>
      <w:bookmarkEnd w:id="7"/>
      <w:bookmarkEnd w:id="8"/>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（一）第一次：合同签订后，中标人提供足额增值税发票，采购人于十五个工作日内支付合同金额的30%。</w:t>
      </w:r>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（二）第二次：验收合格后，中标人提供足额增值税发票，采购人于十五个工作日内支付合同金额的60%。</w:t>
      </w:r>
    </w:p>
    <w:p>
      <w:pPr>
        <w:snapToGrid w:val="0"/>
        <w:spacing w:line="360" w:lineRule="auto"/>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（三）第三次：验收合格后，技术支持服务期满1年，中标人提供足额增值税发票，采购人于十五个工作日内支付合同金额的10%。</w:t>
      </w:r>
    </w:p>
    <w:p>
      <w:pPr>
        <w:spacing w:before="120" w:beforeLines="50" w:after="120" w:afterLines="50" w:line="420" w:lineRule="exac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四、供应商资格要求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w:t>
      </w:r>
      <w:r>
        <w:rPr>
          <w:rFonts w:hint="eastAsia" w:asciiTheme="minorEastAsia" w:hAnsiTheme="minorEastAsia" w:eastAsiaTheme="minorEastAsia" w:cstheme="minorEastAsia"/>
          <w:bCs/>
          <w:color w:val="auto"/>
          <w:sz w:val="24"/>
          <w:lang w:eastAsia="zh-CN"/>
        </w:rPr>
        <w:t>服务市场</w:t>
      </w:r>
      <w:r>
        <w:rPr>
          <w:rFonts w:hint="eastAsia" w:asciiTheme="minorEastAsia" w:hAnsiTheme="minorEastAsia" w:eastAsiaTheme="minorEastAsia" w:cstheme="minorEastAsia"/>
          <w:bCs/>
          <w:color w:val="auto"/>
          <w:sz w:val="24"/>
        </w:rPr>
        <w:t>）的正式供应商；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4、法人代表或其委托代理人应携带本人身份证原件及复印件，委托代理人还应携带《法人代表授权委托书》；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五、响应文件的要求</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w:t>
      </w:r>
      <w:r>
        <w:rPr>
          <w:rFonts w:hint="eastAsia" w:asciiTheme="minorEastAsia" w:hAnsiTheme="minorEastAsia" w:eastAsiaTheme="minorEastAsia" w:cstheme="minorEastAsia"/>
          <w:bCs/>
          <w:sz w:val="24"/>
          <w:lang w:eastAsia="zh-CN"/>
        </w:rPr>
        <w:t>一</w:t>
      </w:r>
      <w:r>
        <w:rPr>
          <w:rFonts w:hint="eastAsia" w:asciiTheme="minorEastAsia" w:hAnsiTheme="minorEastAsia" w:eastAsiaTheme="minorEastAsia" w:cstheme="minorEastAsia"/>
          <w:bCs/>
          <w:sz w:val="24"/>
        </w:rPr>
        <w:t>副，要求装订成册，含所投标的物的服务说明、报价等。2、标书应文字表达清楚，字迹工整规范，并在封口处加盖骑缝章。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六、投标报价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rPr>
        <w:t>货物，</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 时间：</w:t>
      </w:r>
      <w:r>
        <w:rPr>
          <w:rFonts w:hint="eastAsia"/>
          <w:b w:val="0"/>
          <w:bCs w:val="0"/>
          <w:color w:val="auto"/>
        </w:rPr>
        <w:t>202</w:t>
      </w:r>
      <w:r>
        <w:rPr>
          <w:b w:val="0"/>
          <w:bCs w:val="0"/>
          <w:color w:val="auto"/>
        </w:rPr>
        <w:t>3</w:t>
      </w:r>
      <w:r>
        <w:rPr>
          <w:rFonts w:hint="eastAsia"/>
          <w:b w:val="0"/>
          <w:bCs w:val="0"/>
          <w:color w:val="auto"/>
        </w:rPr>
        <w:t>年</w:t>
      </w:r>
      <w:r>
        <w:rPr>
          <w:rFonts w:hint="eastAsia"/>
          <w:b w:val="0"/>
          <w:bCs w:val="0"/>
          <w:color w:val="auto"/>
          <w:lang w:val="en-US" w:eastAsia="zh-CN"/>
        </w:rPr>
        <w:t>11</w:t>
      </w:r>
      <w:r>
        <w:rPr>
          <w:rFonts w:hint="eastAsia"/>
          <w:b w:val="0"/>
          <w:bCs w:val="0"/>
          <w:color w:val="auto"/>
        </w:rPr>
        <w:t>月</w:t>
      </w:r>
      <w:r>
        <w:rPr>
          <w:rFonts w:hint="eastAsia"/>
          <w:b w:val="0"/>
          <w:bCs w:val="0"/>
          <w:color w:val="auto"/>
          <w:lang w:val="en-US" w:eastAsia="zh-CN"/>
        </w:rPr>
        <w:t>13</w:t>
      </w:r>
      <w:r>
        <w:rPr>
          <w:rFonts w:hint="eastAsia"/>
          <w:b w:val="0"/>
          <w:bCs w:val="0"/>
          <w:color w:val="auto"/>
        </w:rPr>
        <w:t>日至202</w:t>
      </w:r>
      <w:r>
        <w:rPr>
          <w:b w:val="0"/>
          <w:bCs w:val="0"/>
          <w:color w:val="auto"/>
        </w:rPr>
        <w:t>3</w:t>
      </w:r>
      <w:r>
        <w:rPr>
          <w:rFonts w:hint="eastAsia"/>
          <w:b w:val="0"/>
          <w:bCs w:val="0"/>
          <w:color w:val="auto"/>
        </w:rPr>
        <w:t>年</w:t>
      </w:r>
      <w:r>
        <w:rPr>
          <w:rFonts w:hint="eastAsia"/>
          <w:b w:val="0"/>
          <w:bCs w:val="0"/>
          <w:color w:val="auto"/>
          <w:lang w:val="en-US" w:eastAsia="zh-CN"/>
        </w:rPr>
        <w:t>11</w:t>
      </w:r>
      <w:r>
        <w:rPr>
          <w:rFonts w:hint="eastAsia"/>
          <w:b w:val="0"/>
          <w:bCs w:val="0"/>
          <w:color w:val="auto"/>
        </w:rPr>
        <w:t>月</w:t>
      </w:r>
      <w:r>
        <w:rPr>
          <w:rFonts w:hint="eastAsia"/>
          <w:b w:val="0"/>
          <w:bCs w:val="0"/>
          <w:color w:val="auto"/>
          <w:lang w:val="en-US" w:eastAsia="zh-CN"/>
        </w:rPr>
        <w:t>16</w:t>
      </w:r>
      <w:r>
        <w:rPr>
          <w:rFonts w:hint="eastAsia"/>
          <w:b w:val="0"/>
          <w:bCs w:val="0"/>
          <w:color w:val="auto"/>
        </w:rPr>
        <w:t>日</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 获取文件地址：新疆师范高等专科学校（新疆教育学院）官网招标采购公布栏</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 获取询价文件方式：网站自行下载</w:t>
      </w:r>
    </w:p>
    <w:p>
      <w:pPr>
        <w:pStyle w:val="10"/>
        <w:spacing w:before="75" w:beforeAutospacing="0" w:after="75"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2"/>
          <w:lang w:eastAsia="zh-CN"/>
          <w14:textFill>
            <w14:solidFill>
              <w14:schemeClr w14:val="tx1"/>
            </w14:solidFill>
          </w14:textFill>
        </w:rPr>
        <w:t>九、</w:t>
      </w:r>
      <w:r>
        <w:rPr>
          <w:rFonts w:asciiTheme="minorEastAsia" w:hAnsiTheme="minorEastAsia" w:eastAsiaTheme="minorEastAsia" w:cstheme="minorEastAsia"/>
          <w:b/>
          <w:color w:val="000000" w:themeColor="text1"/>
          <w:kern w:val="2"/>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14:textFill>
            <w14:solidFill>
              <w14:schemeClr w14:val="tx1"/>
            </w14:solidFill>
          </w14:textFill>
        </w:rPr>
        <w:t>地址、</w:t>
      </w:r>
      <w:r>
        <w:rPr>
          <w:rFonts w:asciiTheme="minorEastAsia" w:hAnsiTheme="minorEastAsia" w:eastAsiaTheme="minorEastAsia" w:cstheme="minorEastAsia"/>
          <w:b/>
          <w:color w:val="000000" w:themeColor="text1"/>
          <w:kern w:val="2"/>
          <w14:textFill>
            <w14:solidFill>
              <w14:schemeClr w14:val="tx1"/>
            </w14:solidFill>
          </w14:textFill>
        </w:rPr>
        <w:t>截止时间</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b w:val="0"/>
          <w:bCs w:val="0"/>
          <w:color w:val="auto"/>
        </w:rPr>
        <w:t>新疆乌鲁木齐沙依巴克区西山农牧场榆泉南路560号</w:t>
      </w:r>
      <w:r>
        <w:rPr>
          <w:rFonts w:hint="eastAsia" w:asciiTheme="minorEastAsia" w:hAnsiTheme="minorEastAsia" w:eastAsiaTheme="minorEastAsia" w:cstheme="minorEastAsia"/>
          <w:bCs/>
          <w:sz w:val="24"/>
        </w:rPr>
        <w:t>新疆师范高等专科学校</w:t>
      </w:r>
      <w:r>
        <w:rPr>
          <w:color w:val="000000" w:themeColor="text1"/>
          <w14:textFill>
            <w14:solidFill>
              <w14:schemeClr w14:val="tx1"/>
            </w14:solidFill>
          </w14:textFill>
        </w:rPr>
        <w:t>（新疆教育学院）</w:t>
      </w:r>
      <w:r>
        <w:rPr>
          <w:rFonts w:hint="eastAsia"/>
          <w:color w:val="000000" w:themeColor="text1"/>
          <w:lang w:eastAsia="zh-CN"/>
          <w14:textFill>
            <w14:solidFill>
              <w14:schemeClr w14:val="tx1"/>
            </w14:solidFill>
          </w14:textFill>
        </w:rPr>
        <w:t>亚心</w:t>
      </w:r>
      <w:r>
        <w:rPr>
          <w:color w:val="000000" w:themeColor="text1"/>
          <w14:textFill>
            <w14:solidFill>
              <w14:schemeClr w14:val="tx1"/>
            </w14:solidFill>
          </w14:textFill>
        </w:rPr>
        <w:t>校区校区门卫室</w:t>
      </w:r>
    </w:p>
    <w:p>
      <w:pPr>
        <w:pStyle w:val="10"/>
        <w:spacing w:before="75" w:beforeAutospacing="0" w:after="75" w:afterAutospacing="0" w:line="360" w:lineRule="auto"/>
        <w:ind w:firstLine="480"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截止</w:t>
      </w:r>
      <w:r>
        <w:rPr>
          <w:color w:val="000000" w:themeColor="text1"/>
          <w14:textFill>
            <w14:solidFill>
              <w14:schemeClr w14:val="tx1"/>
            </w14:solidFill>
          </w14:textFill>
        </w:rPr>
        <w:t>时间：202</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11</w:t>
      </w:r>
      <w:r>
        <w:rPr>
          <w:color w:val="000000" w:themeColor="text1"/>
          <w14:textFill>
            <w14:solidFill>
              <w14:schemeClr w14:val="tx1"/>
            </w14:solidFill>
          </w14:textFill>
        </w:rPr>
        <w:t>月</w:t>
      </w: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6</w:t>
      </w:r>
      <w:r>
        <w:rPr>
          <w:color w:val="000000" w:themeColor="text1"/>
          <w14:textFill>
            <w14:solidFill>
              <w14:schemeClr w14:val="tx1"/>
            </w14:solidFill>
          </w14:textFill>
        </w:rPr>
        <w:t>日1</w:t>
      </w:r>
      <w:r>
        <w:rPr>
          <w:rFonts w:hint="eastAsia"/>
          <w:color w:val="000000" w:themeColor="text1"/>
          <w:lang w:val="en-US" w:eastAsia="zh-CN"/>
          <w14:textFill>
            <w14:solidFill>
              <w14:schemeClr w14:val="tx1"/>
            </w14:solidFill>
          </w14:textFill>
        </w:rPr>
        <w:t>6</w:t>
      </w:r>
      <w:bookmarkStart w:id="16" w:name="_GoBack"/>
      <w:bookmarkEnd w:id="16"/>
      <w:r>
        <w:rPr>
          <w:color w:val="000000" w:themeColor="text1"/>
          <w14:textFill>
            <w14:solidFill>
              <w14:schemeClr w14:val="tx1"/>
            </w14:solidFill>
          </w14:textFill>
        </w:rPr>
        <w:t>：</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p>
    <w:p>
      <w:pPr>
        <w:spacing w:before="120" w:beforeLines="50" w:after="120" w:afterLines="50" w:line="420" w:lineRule="exact"/>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响应文件开启时间与地点</w:t>
      </w:r>
    </w:p>
    <w:p>
      <w:pPr>
        <w:spacing w:line="420" w:lineRule="exact"/>
        <w:ind w:firstLine="480" w:firstLineChars="200"/>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val="0"/>
          <w:bCs w:val="0"/>
          <w:color w:val="auto"/>
          <w:sz w:val="24"/>
        </w:rPr>
        <w:t>时  间：</w:t>
      </w:r>
      <w:r>
        <w:rPr>
          <w:rFonts w:hint="eastAsia" w:cs="宋体"/>
          <w:b w:val="0"/>
          <w:bCs w:val="0"/>
          <w:color w:val="auto"/>
          <w:sz w:val="24"/>
        </w:rPr>
        <w:t>202</w:t>
      </w:r>
      <w:r>
        <w:rPr>
          <w:rFonts w:cs="宋体"/>
          <w:b w:val="0"/>
          <w:bCs w:val="0"/>
          <w:color w:val="auto"/>
          <w:sz w:val="24"/>
        </w:rPr>
        <w:t>3</w:t>
      </w:r>
      <w:r>
        <w:rPr>
          <w:rFonts w:hint="eastAsia" w:cs="宋体"/>
          <w:b w:val="0"/>
          <w:bCs w:val="0"/>
          <w:color w:val="auto"/>
          <w:sz w:val="24"/>
        </w:rPr>
        <w:t>年</w:t>
      </w:r>
      <w:r>
        <w:rPr>
          <w:rFonts w:hint="eastAsia" w:cs="宋体"/>
          <w:b w:val="0"/>
          <w:bCs w:val="0"/>
          <w:color w:val="auto"/>
          <w:sz w:val="24"/>
          <w:lang w:val="en-US" w:eastAsia="zh-CN"/>
        </w:rPr>
        <w:t>11</w:t>
      </w:r>
      <w:r>
        <w:rPr>
          <w:rFonts w:hint="eastAsia" w:cs="宋体"/>
          <w:b w:val="0"/>
          <w:bCs w:val="0"/>
          <w:color w:val="auto"/>
          <w:sz w:val="24"/>
        </w:rPr>
        <w:t>月</w:t>
      </w:r>
      <w:r>
        <w:rPr>
          <w:rFonts w:hint="eastAsia" w:cs="宋体"/>
          <w:b w:val="0"/>
          <w:bCs w:val="0"/>
          <w:color w:val="auto"/>
          <w:sz w:val="24"/>
          <w:lang w:val="en-US" w:eastAsia="zh-CN"/>
        </w:rPr>
        <w:t>16</w:t>
      </w:r>
      <w:r>
        <w:rPr>
          <w:rFonts w:hint="eastAsia" w:cs="宋体"/>
          <w:b w:val="0"/>
          <w:bCs w:val="0"/>
          <w:color w:val="auto"/>
          <w:sz w:val="24"/>
        </w:rPr>
        <w:t>日 1</w:t>
      </w:r>
      <w:r>
        <w:rPr>
          <w:rFonts w:hint="eastAsia" w:cs="宋体"/>
          <w:b w:val="0"/>
          <w:bCs w:val="0"/>
          <w:color w:val="auto"/>
          <w:sz w:val="24"/>
          <w:lang w:val="en-US" w:eastAsia="zh-CN"/>
        </w:rPr>
        <w:t>6</w:t>
      </w:r>
      <w:r>
        <w:rPr>
          <w:rFonts w:hint="eastAsia" w:cs="宋体"/>
          <w:b w:val="0"/>
          <w:bCs w:val="0"/>
          <w:color w:val="auto"/>
          <w:sz w:val="24"/>
        </w:rPr>
        <w:t>:00（北京时间）</w:t>
      </w:r>
    </w:p>
    <w:p>
      <w:pPr>
        <w:spacing w:line="420" w:lineRule="exact"/>
        <w:ind w:firstLine="480" w:firstLineChars="200"/>
        <w:rPr>
          <w:rFonts w:hint="eastAsia" w:ascii="宋体" w:hAnsi="宋体" w:cs="宋体" w:eastAsiaTheme="minorEastAsia"/>
          <w:b w:val="0"/>
          <w:bCs w:val="0"/>
          <w:color w:val="auto"/>
          <w:sz w:val="24"/>
          <w:lang w:eastAsia="zh-CN"/>
        </w:rPr>
      </w:pPr>
      <w:r>
        <w:rPr>
          <w:rFonts w:hint="eastAsia" w:asciiTheme="minorEastAsia" w:hAnsiTheme="minorEastAsia" w:eastAsiaTheme="minorEastAsia" w:cstheme="minorEastAsia"/>
          <w:b w:val="0"/>
          <w:bCs w:val="0"/>
          <w:color w:val="auto"/>
          <w:sz w:val="24"/>
        </w:rPr>
        <w:t>地  点：</w:t>
      </w:r>
      <w:r>
        <w:rPr>
          <w:rFonts w:hint="eastAsia" w:ascii="宋体" w:hAnsi="宋体" w:cs="宋体" w:eastAsiaTheme="minorEastAsia"/>
          <w:b w:val="0"/>
          <w:bCs w:val="0"/>
          <w:color w:val="auto"/>
          <w:sz w:val="24"/>
          <w:lang w:eastAsia="zh-CN"/>
        </w:rPr>
        <w:t>毓德楼招标采购办公室</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一</w:t>
      </w:r>
      <w:r>
        <w:rPr>
          <w:rFonts w:hint="eastAsia" w:asciiTheme="minorEastAsia" w:hAnsiTheme="minorEastAsia" w:eastAsiaTheme="minorEastAsia" w:cstheme="minorEastAsia"/>
          <w:b/>
          <w:sz w:val="24"/>
        </w:rPr>
        <w:t>、联系方式</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采购人：新疆师范高等专科学校</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地 址：新疆乌鲁木齐沙依巴克区西山农牧场榆泉南路560号</w:t>
      </w:r>
    </w:p>
    <w:p>
      <w:pPr>
        <w:spacing w:line="360" w:lineRule="auto"/>
        <w:ind w:firstLine="480" w:firstLineChars="200"/>
        <w:rPr>
          <w:rFonts w:asciiTheme="minorEastAsia" w:hAnsiTheme="minorEastAsia" w:eastAsiaTheme="minorEastAsia" w:cstheme="minorEastAsia"/>
          <w:bCs/>
          <w:sz w:val="24"/>
        </w:rPr>
      </w:pPr>
      <w:bookmarkStart w:id="9" w:name="_Toc494292920"/>
      <w:bookmarkStart w:id="10" w:name="_Toc474492108"/>
      <w:r>
        <w:rPr>
          <w:rFonts w:hint="eastAsia" w:asciiTheme="minorEastAsia" w:hAnsiTheme="minorEastAsia" w:eastAsiaTheme="minorEastAsia" w:cstheme="minorEastAsia"/>
          <w:bCs/>
          <w:sz w:val="24"/>
        </w:rPr>
        <w:t>联系人：热依扎</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联系方式：</w:t>
      </w:r>
      <w:r>
        <w:rPr>
          <w:rFonts w:asciiTheme="minorEastAsia" w:hAnsiTheme="minorEastAsia" w:eastAsiaTheme="minorEastAsia" w:cstheme="minorEastAsia"/>
          <w:bCs/>
          <w:sz w:val="24"/>
        </w:rPr>
        <w:t>19999480707</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9"/>
      <w:bookmarkEnd w:id="10"/>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11" w:name="_Toc509996882"/>
      <w:r>
        <w:rPr>
          <w:rFonts w:hint="eastAsia" w:ascii="宋体" w:hAnsi="宋体" w:eastAsia="宋体" w:cs="宋体"/>
          <w:bCs w:val="0"/>
          <w:kern w:val="44"/>
          <w:sz w:val="24"/>
          <w:szCs w:val="24"/>
        </w:rPr>
        <w:t>响应文件（格 式）</w:t>
      </w:r>
      <w:bookmarkEnd w:id="11"/>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int="eastAsia"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四、采购需求响应偏离表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五、供应商认为有必要提供的其他资料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center"/>
              <w:rPr>
                <w:rFonts w:ascii="宋体" w:hAnsi="宋体"/>
                <w:sz w:val="24"/>
              </w:rPr>
            </w:pPr>
            <w:r>
              <w:rPr>
                <w:rFonts w:hint="eastAsia" w:asciiTheme="minorEastAsia" w:hAnsiTheme="minorEastAsia" w:eastAsiaTheme="minorEastAsia" w:cstheme="minorEastAsia"/>
                <w:bCs/>
                <w:sz w:val="24"/>
              </w:rPr>
              <w:t>新疆</w:t>
            </w:r>
            <w:r>
              <w:rPr>
                <w:rFonts w:hint="eastAsia" w:asciiTheme="minorEastAsia" w:hAnsiTheme="minorEastAsia" w:eastAsiaTheme="minorEastAsia" w:cstheme="minorEastAsia"/>
                <w:bCs/>
                <w:sz w:val="24"/>
                <w:lang w:eastAsia="zh-CN"/>
              </w:rPr>
              <w:t>师范高等</w:t>
            </w:r>
            <w:r>
              <w:rPr>
                <w:rFonts w:hint="eastAsia" w:asciiTheme="minorEastAsia" w:hAnsiTheme="minorEastAsia" w:eastAsiaTheme="minorEastAsia" w:cstheme="minorEastAsia"/>
                <w:bCs/>
                <w:sz w:val="24"/>
              </w:rPr>
              <w:t>专科学校（亚新校区）室外道路重点区域监控覆盖建设项目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spacing w:before="100" w:beforeAutospacing="1" w:after="100" w:afterAutospacing="1"/>
      </w:pPr>
    </w:p>
    <w:p/>
    <w:p/>
    <w:p/>
    <w:p/>
    <w:p>
      <w:pPr>
        <w:pStyle w:val="6"/>
        <w:spacing w:after="120" w:afterLines="50"/>
        <w:jc w:val="center"/>
        <w:sectPr>
          <w:pgSz w:w="11907" w:h="16840"/>
          <w:pgMar w:top="1440" w:right="1797" w:bottom="1440" w:left="1797" w:header="851" w:footer="992" w:gutter="0"/>
          <w:pgNumType w:fmt="numberInDash"/>
          <w:cols w:space="720" w:num="1"/>
          <w:titlePg/>
          <w:docGrid w:linePitch="303" w:charSpace="0"/>
        </w:sectPr>
      </w:pPr>
    </w:p>
    <w:p>
      <w:pPr>
        <w:widowControl/>
        <w:ind w:left="540"/>
        <w:jc w:val="center"/>
        <w:rPr>
          <w:rFonts w:hAnsi="宋体"/>
          <w:b/>
          <w:sz w:val="28"/>
          <w:szCs w:val="28"/>
        </w:rPr>
      </w:pPr>
      <w:bookmarkStart w:id="12" w:name="_Toc20897"/>
      <w:bookmarkStart w:id="13" w:name="_Toc1881"/>
      <w:bookmarkStart w:id="14" w:name="_Toc515647818"/>
      <w:bookmarkStart w:id="15" w:name="_Toc532473507"/>
      <w:r>
        <w:rPr>
          <w:rFonts w:hint="eastAsia" w:hAnsi="宋体"/>
          <w:b/>
          <w:sz w:val="28"/>
          <w:szCs w:val="28"/>
        </w:rPr>
        <w:t>2. 投标分项报价表</w:t>
      </w:r>
    </w:p>
    <w:bookmarkEnd w:id="12"/>
    <w:bookmarkEnd w:id="13"/>
    <w:bookmarkEnd w:id="14"/>
    <w:bookmarkEnd w:id="15"/>
    <w:p>
      <w:pPr>
        <w:pStyle w:val="6"/>
        <w:spacing w:line="360" w:lineRule="auto"/>
        <w:rPr>
          <w:rFonts w:asciiTheme="minorEastAsia" w:hAnsiTheme="minorEastAsia"/>
          <w:sz w:val="24"/>
        </w:rPr>
      </w:pPr>
    </w:p>
    <w:p>
      <w:pPr>
        <w:pStyle w:val="6"/>
        <w:spacing w:line="360" w:lineRule="auto"/>
        <w:rPr>
          <w:rFonts w:asciiTheme="minorEastAsia" w:hAnsiTheme="minorEastAsia"/>
          <w:sz w:val="24"/>
        </w:rPr>
      </w:pPr>
      <w:r>
        <w:rPr>
          <w:rFonts w:hint="eastAsia" w:asciiTheme="minorEastAsia" w:hAnsiTheme="minorEastAsia"/>
          <w:sz w:val="24"/>
        </w:rPr>
        <w:t>项目名称:              　               报价单位：人民币元</w:t>
      </w:r>
    </w:p>
    <w:p>
      <w:pPr>
        <w:pStyle w:val="6"/>
        <w:spacing w:line="360" w:lineRule="auto"/>
        <w:rPr>
          <w:rFonts w:asciiTheme="minorEastAsia" w:hAnsiTheme="minorEastAsia"/>
          <w:sz w:val="24"/>
        </w:rPr>
      </w:pPr>
    </w:p>
    <w:tbl>
      <w:tblPr>
        <w:tblStyle w:val="11"/>
        <w:tblW w:w="9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040"/>
        <w:gridCol w:w="884"/>
        <w:gridCol w:w="1620"/>
        <w:gridCol w:w="737"/>
        <w:gridCol w:w="1473"/>
        <w:gridCol w:w="884"/>
        <w:gridCol w:w="737"/>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序号</w:t>
            </w:r>
          </w:p>
        </w:tc>
        <w:tc>
          <w:tcPr>
            <w:tcW w:w="204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产品名称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品牌</w:t>
            </w:r>
          </w:p>
        </w:tc>
        <w:tc>
          <w:tcPr>
            <w:tcW w:w="1620"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型号和规格</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数量</w:t>
            </w:r>
          </w:p>
        </w:tc>
        <w:tc>
          <w:tcPr>
            <w:tcW w:w="1473"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制造商名称</w:t>
            </w:r>
          </w:p>
        </w:tc>
        <w:tc>
          <w:tcPr>
            <w:tcW w:w="884"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单价</w:t>
            </w:r>
          </w:p>
        </w:tc>
        <w:tc>
          <w:tcPr>
            <w:tcW w:w="737"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总价</w:t>
            </w:r>
          </w:p>
        </w:tc>
        <w:tc>
          <w:tcPr>
            <w:tcW w:w="736"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1</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2</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3</w:t>
            </w:r>
          </w:p>
        </w:tc>
        <w:tc>
          <w:tcPr>
            <w:tcW w:w="2040" w:type="dxa"/>
            <w:vAlign w:val="center"/>
          </w:tcPr>
          <w:p>
            <w:pPr>
              <w:pStyle w:val="6"/>
              <w:spacing w:line="360" w:lineRule="auto"/>
              <w:jc w:val="center"/>
              <w:rPr>
                <w:rFonts w:asciiTheme="minorEastAsia" w:hAnsiTheme="minorEastAsia"/>
                <w:i/>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9" w:type="dxa"/>
            <w:vAlign w:val="center"/>
          </w:tcPr>
          <w:p>
            <w:pPr>
              <w:pStyle w:val="6"/>
              <w:spacing w:line="360" w:lineRule="auto"/>
              <w:jc w:val="center"/>
              <w:rPr>
                <w:rFonts w:asciiTheme="minorEastAsia" w:hAnsiTheme="minorEastAsia"/>
                <w:sz w:val="24"/>
              </w:rPr>
            </w:pPr>
            <w:r>
              <w:rPr>
                <w:rFonts w:hint="eastAsia" w:asciiTheme="minorEastAsia" w:hAnsiTheme="minorEastAsia"/>
                <w:sz w:val="24"/>
              </w:rPr>
              <w:t>..</w:t>
            </w:r>
          </w:p>
        </w:tc>
        <w:tc>
          <w:tcPr>
            <w:tcW w:w="2040" w:type="dxa"/>
            <w:vAlign w:val="center"/>
          </w:tcPr>
          <w:p>
            <w:pPr>
              <w:pStyle w:val="6"/>
              <w:spacing w:line="360" w:lineRule="auto"/>
              <w:jc w:val="center"/>
              <w:rPr>
                <w:rFonts w:asciiTheme="minorEastAsia" w:hAnsiTheme="minorEastAsia"/>
                <w:sz w:val="24"/>
              </w:rPr>
            </w:pPr>
          </w:p>
        </w:tc>
        <w:tc>
          <w:tcPr>
            <w:tcW w:w="884" w:type="dxa"/>
          </w:tcPr>
          <w:p>
            <w:pPr>
              <w:pStyle w:val="6"/>
              <w:spacing w:line="360" w:lineRule="auto"/>
              <w:ind w:left="1079" w:leftChars="257" w:hanging="540"/>
              <w:jc w:val="center"/>
              <w:rPr>
                <w:rFonts w:asciiTheme="minorEastAsia" w:hAnsiTheme="minorEastAsia"/>
                <w:sz w:val="24"/>
              </w:rPr>
            </w:pPr>
          </w:p>
        </w:tc>
        <w:tc>
          <w:tcPr>
            <w:tcW w:w="1620"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1473" w:type="dxa"/>
            <w:vAlign w:val="center"/>
          </w:tcPr>
          <w:p>
            <w:pPr>
              <w:pStyle w:val="6"/>
              <w:spacing w:line="360" w:lineRule="auto"/>
              <w:ind w:left="1079" w:leftChars="257" w:hanging="540"/>
              <w:jc w:val="center"/>
              <w:rPr>
                <w:rFonts w:asciiTheme="minorEastAsia" w:hAnsiTheme="minorEastAsia"/>
                <w:sz w:val="24"/>
              </w:rPr>
            </w:pPr>
          </w:p>
        </w:tc>
        <w:tc>
          <w:tcPr>
            <w:tcW w:w="884" w:type="dxa"/>
            <w:vAlign w:val="center"/>
          </w:tcPr>
          <w:p>
            <w:pPr>
              <w:pStyle w:val="6"/>
              <w:spacing w:line="360" w:lineRule="auto"/>
              <w:ind w:left="1079" w:leftChars="257" w:hanging="540"/>
              <w:jc w:val="center"/>
              <w:rPr>
                <w:rFonts w:asciiTheme="minorEastAsia" w:hAnsiTheme="minorEastAsia"/>
                <w:sz w:val="24"/>
              </w:rPr>
            </w:pP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487" w:type="dxa"/>
            <w:gridSpan w:val="7"/>
            <w:vAlign w:val="center"/>
          </w:tcPr>
          <w:p>
            <w:pPr>
              <w:pStyle w:val="6"/>
              <w:spacing w:line="360" w:lineRule="auto"/>
              <w:ind w:left="1079" w:leftChars="257" w:hanging="540"/>
              <w:jc w:val="center"/>
              <w:rPr>
                <w:rFonts w:asciiTheme="minorEastAsia" w:hAnsiTheme="minorEastAsia"/>
                <w:sz w:val="24"/>
              </w:rPr>
            </w:pPr>
            <w:r>
              <w:rPr>
                <w:rFonts w:hint="eastAsia" w:asciiTheme="minorEastAsia" w:hAnsiTheme="minorEastAsia"/>
                <w:sz w:val="24"/>
              </w:rPr>
              <w:t>合计</w:t>
            </w:r>
          </w:p>
        </w:tc>
        <w:tc>
          <w:tcPr>
            <w:tcW w:w="737" w:type="dxa"/>
            <w:vAlign w:val="center"/>
          </w:tcPr>
          <w:p>
            <w:pPr>
              <w:pStyle w:val="6"/>
              <w:spacing w:line="360" w:lineRule="auto"/>
              <w:ind w:left="1079" w:leftChars="257" w:hanging="540"/>
              <w:jc w:val="center"/>
              <w:rPr>
                <w:rFonts w:asciiTheme="minorEastAsia" w:hAnsiTheme="minorEastAsia"/>
                <w:sz w:val="24"/>
              </w:rPr>
            </w:pPr>
          </w:p>
        </w:tc>
        <w:tc>
          <w:tcPr>
            <w:tcW w:w="736" w:type="dxa"/>
            <w:vAlign w:val="center"/>
          </w:tcPr>
          <w:p>
            <w:pPr>
              <w:pStyle w:val="6"/>
              <w:spacing w:line="360" w:lineRule="auto"/>
              <w:ind w:left="1079" w:leftChars="257" w:hanging="540"/>
              <w:jc w:val="center"/>
              <w:rPr>
                <w:rFonts w:asciiTheme="minorEastAsia" w:hAnsiTheme="minorEastAsia"/>
                <w:sz w:val="24"/>
              </w:rPr>
            </w:pPr>
          </w:p>
        </w:tc>
      </w:tr>
    </w:tbl>
    <w:p>
      <w:pPr>
        <w:rPr>
          <w:rFonts w:asciiTheme="minorEastAsia" w:hAnsiTheme="minorEastAsia" w:eastAsiaTheme="minorEastAsia"/>
        </w:rPr>
      </w:pPr>
    </w:p>
    <w:p>
      <w:pPr>
        <w:widowControl/>
        <w:spacing w:line="360" w:lineRule="auto"/>
        <w:jc w:val="left"/>
        <w:rPr>
          <w:rFonts w:asciiTheme="minorEastAsia" w:hAnsiTheme="minorEastAsia" w:eastAsiaTheme="minorEastAsia"/>
          <w:sz w:val="24"/>
        </w:rPr>
      </w:pPr>
    </w:p>
    <w:p>
      <w:pPr>
        <w:widowControl/>
        <w:spacing w:line="360" w:lineRule="auto"/>
        <w:jc w:val="left"/>
        <w:rPr>
          <w:rFonts w:asciiTheme="minorEastAsia" w:hAnsiTheme="minorEastAsia" w:eastAsiaTheme="minorEastAsia"/>
          <w:sz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color w:val="000000"/>
          <w:sz w:val="24"/>
          <w:szCs w:val="24"/>
        </w:rPr>
      </w:pPr>
      <w:r>
        <w:rPr>
          <w:rFonts w:hint="eastAsia" w:hAnsi="宋体" w:eastAsia="宋体" w:cs="宋体"/>
          <w:color w:val="000000"/>
          <w:sz w:val="24"/>
          <w:szCs w:val="24"/>
        </w:rPr>
        <w:t>（复印件加盖单位公章）</w:t>
      </w:r>
    </w:p>
    <w:p>
      <w:pPr>
        <w:pStyle w:val="15"/>
        <w:spacing w:line="360" w:lineRule="auto"/>
        <w:rPr>
          <w:rFonts w:hAnsi="宋体" w:cs="宋体"/>
          <w:b/>
          <w:szCs w:val="24"/>
        </w:rPr>
      </w:pPr>
      <w:r>
        <w:rPr>
          <w:rFonts w:hint="eastAsia" w:hAnsi="宋体" w:cs="宋体"/>
          <w:b/>
          <w:szCs w:val="24"/>
        </w:rPr>
        <w:t xml:space="preserve">填写须知 </w:t>
      </w:r>
    </w:p>
    <w:p>
      <w:pPr>
        <w:pStyle w:val="15"/>
        <w:spacing w:after="128" w:line="360" w:lineRule="auto"/>
        <w:rPr>
          <w:rFonts w:hAnsi="宋体" w:cs="宋体"/>
          <w:szCs w:val="24"/>
        </w:rPr>
      </w:pPr>
      <w:r>
        <w:rPr>
          <w:rFonts w:hint="eastAsia" w:hAnsi="宋体" w:cs="宋体"/>
          <w:szCs w:val="24"/>
        </w:rPr>
        <w:t xml:space="preserve">1） 供应商应填写和提交下述规定的资格证明文件，复印件均须加盖公章； </w:t>
      </w:r>
    </w:p>
    <w:p>
      <w:pPr>
        <w:pStyle w:val="15"/>
        <w:spacing w:after="128" w:line="360" w:lineRule="auto"/>
        <w:rPr>
          <w:rFonts w:hAnsi="宋体" w:cs="宋体"/>
          <w:szCs w:val="24"/>
        </w:rPr>
      </w:pPr>
      <w:r>
        <w:rPr>
          <w:rFonts w:hint="eastAsia" w:hAnsi="宋体" w:cs="宋体"/>
          <w:szCs w:val="24"/>
        </w:rPr>
        <w:t xml:space="preserve">2） 所附格式中要求填写的全部内容都必须如实填写； </w:t>
      </w:r>
    </w:p>
    <w:p>
      <w:pPr>
        <w:pStyle w:val="15"/>
        <w:spacing w:after="128" w:line="360" w:lineRule="auto"/>
        <w:rPr>
          <w:rFonts w:hAnsi="宋体" w:cs="宋体"/>
          <w:szCs w:val="24"/>
        </w:rPr>
      </w:pPr>
      <w:r>
        <w:rPr>
          <w:rFonts w:hint="eastAsia" w:hAnsi="宋体" w:cs="宋体"/>
          <w:szCs w:val="24"/>
        </w:rPr>
        <w:t xml:space="preserve">3） 本资格声明的签字人应保证全部声明和填写的内容是真实的和正确的； </w:t>
      </w:r>
    </w:p>
    <w:p>
      <w:pPr>
        <w:pStyle w:val="15"/>
        <w:spacing w:line="360" w:lineRule="auto"/>
        <w:rPr>
          <w:rFonts w:hAnsi="宋体" w:cs="宋体"/>
          <w:b/>
          <w:szCs w:val="24"/>
        </w:rPr>
      </w:pPr>
      <w:r>
        <w:rPr>
          <w:rFonts w:hint="eastAsia" w:hAnsi="宋体" w:cs="宋体"/>
          <w:b/>
          <w:szCs w:val="24"/>
        </w:rPr>
        <w:t>3.1</w:t>
      </w:r>
      <w:r>
        <w:rPr>
          <w:rFonts w:hint="eastAsia" w:hAnsi="宋体" w:cs="宋体"/>
          <w:b/>
          <w:bCs/>
          <w:szCs w:val="24"/>
        </w:rPr>
        <w:t>供应商须为新疆政府采购网电子卖场（</w:t>
      </w:r>
      <w:r>
        <w:rPr>
          <w:rFonts w:hint="eastAsia" w:hAnsi="宋体" w:cs="宋体"/>
          <w:b/>
          <w:bCs/>
          <w:szCs w:val="24"/>
          <w:lang w:eastAsia="zh-CN"/>
        </w:rPr>
        <w:t>服务市场</w:t>
      </w:r>
      <w:r>
        <w:rPr>
          <w:rFonts w:hint="eastAsia" w:hAnsi="宋体" w:cs="宋体"/>
          <w:b/>
          <w:bCs/>
          <w:szCs w:val="24"/>
        </w:rPr>
        <w:t>）的正式供应商</w:t>
      </w:r>
      <w:r>
        <w:rPr>
          <w:rFonts w:hint="eastAsia" w:hAnsi="宋体" w:cs="宋体"/>
          <w:b/>
          <w:szCs w:val="24"/>
        </w:rPr>
        <w:t>；（网站截图）</w:t>
      </w:r>
    </w:p>
    <w:p>
      <w:pPr>
        <w:pStyle w:val="15"/>
        <w:spacing w:line="360" w:lineRule="auto"/>
        <w:rPr>
          <w:rFonts w:hAnsi="宋体" w:cs="宋体"/>
          <w:b/>
          <w:szCs w:val="24"/>
        </w:rPr>
      </w:pPr>
    </w:p>
    <w:p>
      <w:pPr>
        <w:pStyle w:val="15"/>
        <w:spacing w:line="360" w:lineRule="auto"/>
        <w:rPr>
          <w:rFonts w:hAnsi="宋体" w:cs="宋体"/>
          <w:b/>
          <w:szCs w:val="24"/>
        </w:rPr>
      </w:pPr>
      <w:r>
        <w:rPr>
          <w:rFonts w:hint="eastAsia" w:hAnsi="宋体" w:cs="宋体"/>
          <w:b/>
          <w:szCs w:val="24"/>
        </w:rPr>
        <w:t>3.2 营业执照副本；</w:t>
      </w:r>
    </w:p>
    <w:p>
      <w:pPr>
        <w:pStyle w:val="15"/>
        <w:spacing w:line="360" w:lineRule="auto"/>
        <w:rPr>
          <w:rFonts w:hAnsi="宋体" w:cs="宋体"/>
          <w:b/>
          <w:szCs w:val="24"/>
        </w:rPr>
      </w:pPr>
      <w:r>
        <w:rPr>
          <w:rFonts w:hint="eastAsia" w:hAnsi="宋体" w:cs="宋体"/>
          <w:b/>
          <w:szCs w:val="24"/>
        </w:rPr>
        <w:t xml:space="preserve"> </w:t>
      </w:r>
      <w:r>
        <w:rPr>
          <w:rFonts w:hint="eastAsia" w:hAnsi="宋体" w:cs="宋体"/>
          <w:szCs w:val="24"/>
        </w:rPr>
        <w:t xml:space="preserve"> </w:t>
      </w:r>
    </w:p>
    <w:p>
      <w:pPr>
        <w:pStyle w:val="15"/>
        <w:spacing w:line="360" w:lineRule="auto"/>
        <w:rPr>
          <w:rFonts w:hAnsi="宋体" w:cs="宋体"/>
          <w:b/>
          <w:szCs w:val="24"/>
        </w:rPr>
      </w:pPr>
      <w:r>
        <w:rPr>
          <w:rFonts w:hint="eastAsia" w:hAnsi="宋体" w:cs="宋体"/>
          <w:b/>
          <w:szCs w:val="24"/>
        </w:rPr>
        <w:t>3.3 法人代表或其委托代理人应携带本人身份证原件及复印件，委托代理人还应携带《法人代表授权委托书》（见附件格式）</w:t>
      </w:r>
    </w:p>
    <w:p>
      <w:pPr>
        <w:pStyle w:val="15"/>
        <w:spacing w:line="360" w:lineRule="auto"/>
        <w:rPr>
          <w:rFonts w:hAnsi="宋体" w:cs="宋体"/>
          <w:b/>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color w:val="0D0D0D"/>
          <w:sz w:val="28"/>
          <w:szCs w:val="28"/>
        </w:rPr>
      </w:pPr>
      <w:r>
        <w:rPr>
          <w:rFonts w:hint="eastAsia" w:hAnsi="宋体" w:cs="ËÎÌå"/>
          <w:b/>
          <w:color w:val="0D0D0D"/>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color w:val="0D0D0D"/>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6"/>
        <w:spacing w:line="360" w:lineRule="auto"/>
        <w:jc w:val="center"/>
        <w:rPr>
          <w:rFonts w:hAnsi="宋体"/>
          <w:b/>
          <w:sz w:val="28"/>
          <w:szCs w:val="28"/>
        </w:rPr>
      </w:pPr>
      <w:r>
        <w:rPr>
          <w:rFonts w:hint="eastAsia" w:hAnsi="宋体"/>
          <w:b/>
          <w:sz w:val="28"/>
          <w:szCs w:val="28"/>
        </w:rPr>
        <w:t>4.采购需求响应偏离表</w:t>
      </w:r>
    </w:p>
    <w:p>
      <w:pPr>
        <w:pStyle w:val="6"/>
        <w:spacing w:line="360" w:lineRule="auto"/>
        <w:rPr>
          <w:rFonts w:asciiTheme="minorEastAsia" w:hAnsiTheme="minorEastAsia"/>
          <w:sz w:val="24"/>
          <w:szCs w:val="24"/>
        </w:rPr>
      </w:pPr>
      <w:r>
        <w:rPr>
          <w:rFonts w:hint="eastAsia" w:asciiTheme="minorEastAsia" w:hAnsiTheme="minorEastAsia"/>
          <w:sz w:val="24"/>
          <w:szCs w:val="24"/>
        </w:rPr>
        <w:t xml:space="preserve">项目名称:                     </w:t>
      </w:r>
    </w:p>
    <w:tbl>
      <w:tblPr>
        <w:tblStyle w:val="11"/>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35"/>
        <w:gridCol w:w="1626"/>
        <w:gridCol w:w="1599"/>
        <w:gridCol w:w="2160"/>
        <w:gridCol w:w="1136"/>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6"/>
              <w:spacing w:line="360" w:lineRule="auto"/>
              <w:ind w:left="-31" w:leftChars="-15"/>
              <w:jc w:val="center"/>
              <w:rPr>
                <w:rFonts w:asciiTheme="minorEastAsia" w:hAnsiTheme="minorEastAsia"/>
                <w:sz w:val="24"/>
                <w:szCs w:val="24"/>
              </w:rPr>
            </w:pPr>
            <w:r>
              <w:rPr>
                <w:rFonts w:hint="eastAsia" w:asciiTheme="minorEastAsia" w:hAnsiTheme="minorEastAsia"/>
                <w:sz w:val="24"/>
                <w:szCs w:val="24"/>
              </w:rPr>
              <w:t>序号</w:t>
            </w:r>
          </w:p>
        </w:tc>
        <w:tc>
          <w:tcPr>
            <w:tcW w:w="1635" w:type="dxa"/>
            <w:vAlign w:val="center"/>
          </w:tcPr>
          <w:p>
            <w:pPr>
              <w:pStyle w:val="6"/>
              <w:spacing w:line="360" w:lineRule="auto"/>
              <w:ind w:left="-149" w:leftChars="-71"/>
              <w:jc w:val="center"/>
              <w:rPr>
                <w:rFonts w:asciiTheme="minorEastAsia" w:hAnsiTheme="minorEastAsia"/>
                <w:sz w:val="24"/>
                <w:szCs w:val="24"/>
              </w:rPr>
            </w:pPr>
            <w:r>
              <w:rPr>
                <w:rFonts w:hint="eastAsia" w:asciiTheme="minorEastAsia" w:hAnsiTheme="minorEastAsia"/>
                <w:sz w:val="24"/>
                <w:szCs w:val="24"/>
              </w:rPr>
              <w:t>项目内容</w:t>
            </w:r>
          </w:p>
        </w:tc>
        <w:tc>
          <w:tcPr>
            <w:tcW w:w="1626" w:type="dxa"/>
            <w:vAlign w:val="center"/>
          </w:tcPr>
          <w:p>
            <w:pPr>
              <w:pStyle w:val="6"/>
              <w:spacing w:line="360" w:lineRule="auto"/>
              <w:ind w:left="-107" w:leftChars="-51"/>
              <w:jc w:val="center"/>
              <w:rPr>
                <w:rFonts w:asciiTheme="minorEastAsia" w:hAnsiTheme="minorEastAsia"/>
                <w:sz w:val="24"/>
                <w:szCs w:val="24"/>
              </w:rPr>
            </w:pPr>
            <w:r>
              <w:rPr>
                <w:rFonts w:hint="eastAsia" w:asciiTheme="minorEastAsia" w:hAnsiTheme="minorEastAsia"/>
                <w:sz w:val="24"/>
                <w:szCs w:val="24"/>
              </w:rPr>
              <w:t>采购文件要求</w:t>
            </w:r>
          </w:p>
        </w:tc>
        <w:tc>
          <w:tcPr>
            <w:tcW w:w="1599" w:type="dxa"/>
            <w:vAlign w:val="center"/>
          </w:tcPr>
          <w:p>
            <w:pPr>
              <w:pStyle w:val="6"/>
              <w:spacing w:line="360" w:lineRule="auto"/>
              <w:ind w:left="-206" w:leftChars="-98" w:right="-166" w:rightChars="-79"/>
              <w:jc w:val="center"/>
              <w:rPr>
                <w:rFonts w:asciiTheme="minorEastAsia" w:hAnsiTheme="minorEastAsia"/>
                <w:sz w:val="24"/>
                <w:szCs w:val="24"/>
              </w:rPr>
            </w:pPr>
            <w:r>
              <w:rPr>
                <w:rFonts w:hint="eastAsia" w:asciiTheme="minorEastAsia" w:hAnsiTheme="minorEastAsia"/>
                <w:sz w:val="24"/>
                <w:szCs w:val="24"/>
              </w:rPr>
              <w:t>竞标响应情况</w:t>
            </w:r>
          </w:p>
        </w:tc>
        <w:tc>
          <w:tcPr>
            <w:tcW w:w="2160" w:type="dxa"/>
            <w:vAlign w:val="center"/>
          </w:tcPr>
          <w:p>
            <w:pPr>
              <w:pStyle w:val="6"/>
              <w:spacing w:line="360" w:lineRule="auto"/>
              <w:ind w:left="-34" w:leftChars="-16"/>
              <w:jc w:val="center"/>
              <w:rPr>
                <w:rFonts w:asciiTheme="minorEastAsia" w:hAnsiTheme="minorEastAsia"/>
                <w:sz w:val="24"/>
                <w:szCs w:val="24"/>
              </w:rPr>
            </w:pPr>
            <w:r>
              <w:rPr>
                <w:rFonts w:hint="eastAsia" w:asciiTheme="minorEastAsia" w:hAnsiTheme="minorEastAsia"/>
                <w:sz w:val="24"/>
                <w:szCs w:val="24"/>
              </w:rPr>
              <w:t>偏离说明（符合/</w:t>
            </w:r>
          </w:p>
          <w:p>
            <w:pPr>
              <w:pStyle w:val="6"/>
              <w:spacing w:line="360" w:lineRule="auto"/>
              <w:ind w:left="-34" w:leftChars="-16"/>
              <w:jc w:val="center"/>
              <w:rPr>
                <w:rFonts w:asciiTheme="minorEastAsia" w:hAnsiTheme="minorEastAsia"/>
                <w:sz w:val="24"/>
                <w:szCs w:val="24"/>
              </w:rPr>
            </w:pPr>
            <w:r>
              <w:rPr>
                <w:rFonts w:hint="eastAsia" w:asciiTheme="minorEastAsia" w:hAnsiTheme="minorEastAsia"/>
                <w:sz w:val="24"/>
                <w:szCs w:val="24"/>
              </w:rPr>
              <w:t>正偏离/负偏离）</w:t>
            </w:r>
          </w:p>
        </w:tc>
        <w:tc>
          <w:tcPr>
            <w:tcW w:w="1136" w:type="dxa"/>
            <w:vAlign w:val="center"/>
          </w:tcPr>
          <w:p>
            <w:pPr>
              <w:pStyle w:val="6"/>
              <w:spacing w:line="360" w:lineRule="auto"/>
              <w:ind w:left="-82" w:leftChars="-39"/>
              <w:jc w:val="center"/>
              <w:rPr>
                <w:rFonts w:asciiTheme="minorEastAsia" w:hAnsiTheme="minorEastAsia"/>
                <w:sz w:val="24"/>
                <w:szCs w:val="24"/>
              </w:rPr>
            </w:pPr>
            <w:r>
              <w:rPr>
                <w:rFonts w:hint="eastAsia" w:asciiTheme="minorEastAsia" w:hAnsiTheme="minorEastAsia"/>
                <w:sz w:val="24"/>
                <w:szCs w:val="24"/>
              </w:rPr>
              <w:t>页码</w:t>
            </w:r>
          </w:p>
        </w:tc>
        <w:tc>
          <w:tcPr>
            <w:tcW w:w="1136" w:type="dxa"/>
            <w:vAlign w:val="center"/>
          </w:tcPr>
          <w:p>
            <w:pPr>
              <w:pStyle w:val="6"/>
              <w:spacing w:line="360" w:lineRule="auto"/>
              <w:ind w:left="-82" w:leftChars="-39"/>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pStyle w:val="26"/>
              <w:rPr>
                <w:rFonts w:asciiTheme="minorEastAsia" w:hAnsiTheme="minorEastAsia" w:eastAsiaTheme="minorEastAsia"/>
                <w:sz w:val="24"/>
                <w:szCs w:val="24"/>
              </w:rPr>
            </w:pPr>
          </w:p>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vAlign w:val="center"/>
          </w:tcPr>
          <w:p>
            <w:pPr>
              <w:widowControl/>
              <w:jc w:val="center"/>
              <w:rPr>
                <w:rFonts w:asciiTheme="minorEastAsia" w:hAnsiTheme="minorEastAsia" w:eastAsiaTheme="minorEastAsia"/>
                <w:sz w:val="24"/>
              </w:rPr>
            </w:pPr>
          </w:p>
        </w:tc>
        <w:tc>
          <w:tcPr>
            <w:tcW w:w="1635" w:type="dxa"/>
            <w:vAlign w:val="center"/>
          </w:tcPr>
          <w:p>
            <w:pPr>
              <w:widowControl/>
              <w:jc w:val="center"/>
              <w:rPr>
                <w:rFonts w:asciiTheme="minorEastAsia" w:hAnsiTheme="minorEastAsia" w:eastAsiaTheme="minorEastAsia"/>
                <w:sz w:val="24"/>
              </w:rPr>
            </w:pPr>
          </w:p>
        </w:tc>
        <w:tc>
          <w:tcPr>
            <w:tcW w:w="1626" w:type="dxa"/>
          </w:tcPr>
          <w:p>
            <w:pPr>
              <w:jc w:val="center"/>
              <w:rPr>
                <w:rFonts w:asciiTheme="minorEastAsia" w:hAnsiTheme="minorEastAsia" w:eastAsiaTheme="minorEastAsia"/>
                <w:sz w:val="24"/>
              </w:rPr>
            </w:pPr>
          </w:p>
        </w:tc>
        <w:tc>
          <w:tcPr>
            <w:tcW w:w="1599" w:type="dxa"/>
          </w:tcPr>
          <w:p>
            <w:pPr>
              <w:pStyle w:val="6"/>
              <w:ind w:left="1080" w:leftChars="257" w:hanging="540"/>
              <w:jc w:val="left"/>
              <w:rPr>
                <w:rFonts w:asciiTheme="minorEastAsia" w:hAnsiTheme="minorEastAsia"/>
                <w:sz w:val="24"/>
                <w:szCs w:val="24"/>
              </w:rPr>
            </w:pPr>
          </w:p>
        </w:tc>
        <w:tc>
          <w:tcPr>
            <w:tcW w:w="2160"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c>
          <w:tcPr>
            <w:tcW w:w="1136" w:type="dxa"/>
          </w:tcPr>
          <w:p>
            <w:pPr>
              <w:pStyle w:val="6"/>
              <w:ind w:left="1080" w:leftChars="257" w:hanging="540"/>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sz w:val="24"/>
              </w:rPr>
            </w:pPr>
          </w:p>
        </w:tc>
        <w:tc>
          <w:tcPr>
            <w:tcW w:w="1635" w:type="dxa"/>
          </w:tcPr>
          <w:p>
            <w:pPr>
              <w:widowControl/>
              <w:jc w:val="center"/>
              <w:rPr>
                <w:rFonts w:asciiTheme="minorEastAsia" w:hAnsiTheme="minorEastAsia" w:eastAsiaTheme="minorEastAsia"/>
                <w:sz w:val="24"/>
              </w:rPr>
            </w:pPr>
          </w:p>
        </w:tc>
        <w:tc>
          <w:tcPr>
            <w:tcW w:w="1626" w:type="dxa"/>
          </w:tcPr>
          <w:p>
            <w:pPr>
              <w:widowControl/>
              <w:jc w:val="center"/>
              <w:rPr>
                <w:rFonts w:asciiTheme="minorEastAsia" w:hAnsiTheme="minorEastAsia" w:eastAsiaTheme="minorEastAsia"/>
                <w:sz w:val="24"/>
              </w:rPr>
            </w:pPr>
          </w:p>
        </w:tc>
        <w:tc>
          <w:tcPr>
            <w:tcW w:w="1599" w:type="dxa"/>
          </w:tcPr>
          <w:p>
            <w:pPr>
              <w:widowControl/>
              <w:jc w:val="center"/>
              <w:rPr>
                <w:rFonts w:asciiTheme="minorEastAsia" w:hAnsiTheme="minorEastAsia" w:eastAsiaTheme="minorEastAsia"/>
                <w:sz w:val="24"/>
              </w:rPr>
            </w:pPr>
          </w:p>
        </w:tc>
        <w:tc>
          <w:tcPr>
            <w:tcW w:w="2160"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widowControl/>
              <w:jc w:val="center"/>
              <w:rPr>
                <w:rFonts w:asciiTheme="minorEastAsia" w:hAnsiTheme="minorEastAsia" w:eastAsiaTheme="minorEastAsia"/>
                <w:sz w:val="24"/>
              </w:rPr>
            </w:pPr>
          </w:p>
        </w:tc>
        <w:tc>
          <w:tcPr>
            <w:tcW w:w="1635" w:type="dxa"/>
          </w:tcPr>
          <w:p>
            <w:pPr>
              <w:widowControl/>
              <w:jc w:val="center"/>
              <w:rPr>
                <w:rFonts w:asciiTheme="minorEastAsia" w:hAnsiTheme="minorEastAsia" w:eastAsiaTheme="minorEastAsia"/>
                <w:sz w:val="24"/>
              </w:rPr>
            </w:pPr>
          </w:p>
        </w:tc>
        <w:tc>
          <w:tcPr>
            <w:tcW w:w="1626" w:type="dxa"/>
          </w:tcPr>
          <w:p>
            <w:pPr>
              <w:widowControl/>
              <w:jc w:val="center"/>
              <w:rPr>
                <w:rFonts w:asciiTheme="minorEastAsia" w:hAnsiTheme="minorEastAsia" w:eastAsiaTheme="minorEastAsia"/>
                <w:sz w:val="24"/>
              </w:rPr>
            </w:pPr>
          </w:p>
        </w:tc>
        <w:tc>
          <w:tcPr>
            <w:tcW w:w="1599" w:type="dxa"/>
          </w:tcPr>
          <w:p>
            <w:pPr>
              <w:widowControl/>
              <w:jc w:val="center"/>
              <w:rPr>
                <w:rFonts w:asciiTheme="minorEastAsia" w:hAnsiTheme="minorEastAsia" w:eastAsiaTheme="minorEastAsia"/>
                <w:sz w:val="24"/>
              </w:rPr>
            </w:pPr>
          </w:p>
        </w:tc>
        <w:tc>
          <w:tcPr>
            <w:tcW w:w="2160"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sz w:val="24"/>
              </w:rPr>
            </w:pPr>
          </w:p>
        </w:tc>
        <w:tc>
          <w:tcPr>
            <w:tcW w:w="1635" w:type="dxa"/>
          </w:tcPr>
          <w:p>
            <w:pPr>
              <w:widowControl/>
              <w:jc w:val="center"/>
              <w:rPr>
                <w:rFonts w:asciiTheme="minorEastAsia" w:hAnsiTheme="minorEastAsia" w:eastAsiaTheme="minorEastAsia"/>
                <w:sz w:val="24"/>
              </w:rPr>
            </w:pPr>
          </w:p>
        </w:tc>
        <w:tc>
          <w:tcPr>
            <w:tcW w:w="1626" w:type="dxa"/>
          </w:tcPr>
          <w:p>
            <w:pPr>
              <w:widowControl/>
              <w:jc w:val="center"/>
              <w:rPr>
                <w:rFonts w:asciiTheme="minorEastAsia" w:hAnsiTheme="minorEastAsia" w:eastAsiaTheme="minorEastAsia"/>
                <w:sz w:val="24"/>
              </w:rPr>
            </w:pPr>
          </w:p>
        </w:tc>
        <w:tc>
          <w:tcPr>
            <w:tcW w:w="1599" w:type="dxa"/>
          </w:tcPr>
          <w:p>
            <w:pPr>
              <w:widowControl/>
              <w:jc w:val="center"/>
              <w:rPr>
                <w:rFonts w:asciiTheme="minorEastAsia" w:hAnsiTheme="minorEastAsia" w:eastAsiaTheme="minorEastAsia"/>
                <w:sz w:val="24"/>
              </w:rPr>
            </w:pPr>
          </w:p>
        </w:tc>
        <w:tc>
          <w:tcPr>
            <w:tcW w:w="2160"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widowControl/>
              <w:jc w:val="center"/>
              <w:rPr>
                <w:rFonts w:asciiTheme="minorEastAsia" w:hAnsiTheme="minorEastAsia" w:eastAsiaTheme="minorEastAsia"/>
                <w:sz w:val="24"/>
              </w:rPr>
            </w:pPr>
          </w:p>
        </w:tc>
        <w:tc>
          <w:tcPr>
            <w:tcW w:w="1635" w:type="dxa"/>
          </w:tcPr>
          <w:p>
            <w:pPr>
              <w:widowControl/>
              <w:jc w:val="center"/>
              <w:rPr>
                <w:rFonts w:asciiTheme="minorEastAsia" w:hAnsiTheme="minorEastAsia" w:eastAsiaTheme="minorEastAsia"/>
                <w:sz w:val="24"/>
              </w:rPr>
            </w:pPr>
          </w:p>
        </w:tc>
        <w:tc>
          <w:tcPr>
            <w:tcW w:w="1626" w:type="dxa"/>
          </w:tcPr>
          <w:p>
            <w:pPr>
              <w:widowControl/>
              <w:jc w:val="center"/>
              <w:rPr>
                <w:rFonts w:asciiTheme="minorEastAsia" w:hAnsiTheme="minorEastAsia" w:eastAsiaTheme="minorEastAsia"/>
                <w:sz w:val="24"/>
              </w:rPr>
            </w:pPr>
          </w:p>
        </w:tc>
        <w:tc>
          <w:tcPr>
            <w:tcW w:w="1599" w:type="dxa"/>
          </w:tcPr>
          <w:p>
            <w:pPr>
              <w:widowControl/>
              <w:jc w:val="center"/>
              <w:rPr>
                <w:rFonts w:asciiTheme="minorEastAsia" w:hAnsiTheme="minorEastAsia" w:eastAsiaTheme="minorEastAsia"/>
                <w:sz w:val="24"/>
              </w:rPr>
            </w:pPr>
          </w:p>
        </w:tc>
        <w:tc>
          <w:tcPr>
            <w:tcW w:w="2160"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c>
          <w:tcPr>
            <w:tcW w:w="1136" w:type="dxa"/>
          </w:tcPr>
          <w:p>
            <w:pPr>
              <w:widowControl/>
              <w:jc w:val="center"/>
              <w:rPr>
                <w:rFonts w:asciiTheme="minorEastAsia" w:hAnsiTheme="minorEastAsia" w:eastAsiaTheme="minorEastAsia"/>
                <w:sz w:val="24"/>
              </w:rPr>
            </w:pPr>
          </w:p>
        </w:tc>
      </w:tr>
    </w:tbl>
    <w:p>
      <w:pPr>
        <w:pStyle w:val="6"/>
        <w:tabs>
          <w:tab w:val="left" w:pos="5370"/>
        </w:tabs>
        <w:spacing w:line="360" w:lineRule="auto"/>
        <w:rPr>
          <w:rFonts w:asciiTheme="minorEastAsia" w:hAnsiTheme="minorEastAsia"/>
          <w:sz w:val="24"/>
          <w:szCs w:val="24"/>
        </w:rPr>
      </w:pPr>
      <w:r>
        <w:rPr>
          <w:rFonts w:hint="eastAsia" w:asciiTheme="minorEastAsia" w:hAnsiTheme="minorEastAsia"/>
          <w:sz w:val="24"/>
          <w:szCs w:val="24"/>
        </w:rPr>
        <w:t>1、供应商须按照“采购需求”中产品参数逐条说明偏离情况；</w:t>
      </w:r>
    </w:p>
    <w:p>
      <w:pPr>
        <w:pStyle w:val="6"/>
        <w:tabs>
          <w:tab w:val="left" w:pos="5370"/>
        </w:tabs>
        <w:spacing w:line="360" w:lineRule="auto"/>
        <w:rPr>
          <w:rFonts w:asciiTheme="minorEastAsia" w:hAnsiTheme="minorEastAsia"/>
          <w:sz w:val="24"/>
          <w:szCs w:val="24"/>
        </w:rPr>
      </w:pPr>
      <w:r>
        <w:rPr>
          <w:rFonts w:hint="eastAsia" w:asciiTheme="minorEastAsia" w:hAnsiTheme="minorEastAsia"/>
          <w:sz w:val="24"/>
          <w:szCs w:val="24"/>
        </w:rPr>
        <w:t>2、如供应商承诺（响应）内容出现正偏离或负偏离，在“竞标响应情况”内容请逐条做出说明。</w:t>
      </w:r>
    </w:p>
    <w:p>
      <w:pPr>
        <w:pStyle w:val="6"/>
        <w:spacing w:line="360" w:lineRule="auto"/>
        <w:ind w:left="1080" w:leftChars="257" w:hanging="540"/>
        <w:rPr>
          <w:rFonts w:asciiTheme="minorEastAsia" w:hAnsiTheme="minorEastAsia"/>
          <w:sz w:val="24"/>
          <w:szCs w:val="24"/>
        </w:rPr>
      </w:pPr>
    </w:p>
    <w:p>
      <w:pPr>
        <w:pStyle w:val="6"/>
        <w:tabs>
          <w:tab w:val="left" w:pos="5370"/>
        </w:tabs>
        <w:spacing w:line="360" w:lineRule="auto"/>
        <w:ind w:left="1080" w:leftChars="257" w:hanging="540"/>
        <w:rPr>
          <w:rFonts w:asciiTheme="minorEastAsia" w:hAnsiTheme="minorEastAsia"/>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sz w:val="24"/>
          <w:szCs w:val="24"/>
          <w:u w:val="single"/>
        </w:rPr>
      </w:pPr>
      <w:r>
        <w:rPr>
          <w:rFonts w:hint="eastAsia" w:hAnsi="宋体"/>
          <w:sz w:val="24"/>
          <w:szCs w:val="24"/>
        </w:rPr>
        <w:t>法定代表人或委托代理人签字</w:t>
      </w:r>
      <w:r>
        <w:rPr>
          <w:rFonts w:hint="eastAsia" w:hAnsi="宋体"/>
          <w:sz w:val="24"/>
          <w:szCs w:val="24"/>
          <w:u w:val="single"/>
        </w:rPr>
        <w:t xml:space="preserve">                 </w:t>
      </w:r>
    </w:p>
    <w:p>
      <w:pPr>
        <w:widowControl/>
        <w:jc w:val="left"/>
        <w:rPr>
          <w:rFonts w:ascii="宋体" w:hAnsi="宋体" w:cs="Courier New" w:eastAsiaTheme="minorEastAsia"/>
          <w:b/>
          <w:sz w:val="28"/>
          <w:szCs w:val="28"/>
        </w:rPr>
      </w:pPr>
      <w:r>
        <w:rPr>
          <w:rFonts w:hAnsi="宋体" w:cs="Courier New" w:eastAsiaTheme="minorEastAsia"/>
          <w:b/>
          <w:sz w:val="28"/>
          <w:szCs w:val="28"/>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G/7Qn8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DT3qdo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DhdBUkNwIAAGEEAAAOAAAAAAAAAAEAIAAAACI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vvKDrzQCAABhBAAADgAAAAAAAAABACAAAAAgAQAAZHJzL2Uyb0RvYy54bWxQ&#10;SwUGAAAAAAYABgBZAQAAx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1B3C14"/>
    <w:multiLevelType w:val="singleLevel"/>
    <w:tmpl w:val="CB1B3C14"/>
    <w:lvl w:ilvl="0" w:tentative="0">
      <w:start w:val="2"/>
      <w:numFmt w:val="decimal"/>
      <w:suff w:val="nothing"/>
      <w:lvlText w:val="%1、"/>
      <w:lvlJc w:val="left"/>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YTliMWMxYjNhMzdjMWMzYjJhMTk3ODdkZDRiM2E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C725DB2"/>
    <w:rsid w:val="0E8F5ED3"/>
    <w:rsid w:val="10244245"/>
    <w:rsid w:val="107332F0"/>
    <w:rsid w:val="13E10E62"/>
    <w:rsid w:val="15CC6890"/>
    <w:rsid w:val="17AC3D98"/>
    <w:rsid w:val="19AF1F1B"/>
    <w:rsid w:val="1A4E24DA"/>
    <w:rsid w:val="1B8820F8"/>
    <w:rsid w:val="1C287DFC"/>
    <w:rsid w:val="1C6F7740"/>
    <w:rsid w:val="200B777F"/>
    <w:rsid w:val="25D050B4"/>
    <w:rsid w:val="2850356C"/>
    <w:rsid w:val="2A232314"/>
    <w:rsid w:val="2C483935"/>
    <w:rsid w:val="2C654EFF"/>
    <w:rsid w:val="2DE25A7B"/>
    <w:rsid w:val="312134DD"/>
    <w:rsid w:val="3195334D"/>
    <w:rsid w:val="32126C92"/>
    <w:rsid w:val="34A45F42"/>
    <w:rsid w:val="37C37636"/>
    <w:rsid w:val="38507543"/>
    <w:rsid w:val="38AD7348"/>
    <w:rsid w:val="3D345439"/>
    <w:rsid w:val="3EF075F6"/>
    <w:rsid w:val="40273D0A"/>
    <w:rsid w:val="43EA510E"/>
    <w:rsid w:val="456D588D"/>
    <w:rsid w:val="48F14EB5"/>
    <w:rsid w:val="4A15672C"/>
    <w:rsid w:val="4FCA5BC1"/>
    <w:rsid w:val="524177B0"/>
    <w:rsid w:val="53727665"/>
    <w:rsid w:val="558E40F2"/>
    <w:rsid w:val="57504B63"/>
    <w:rsid w:val="63B551AD"/>
    <w:rsid w:val="65FA13F5"/>
    <w:rsid w:val="6C476C93"/>
    <w:rsid w:val="6D811230"/>
    <w:rsid w:val="701637DE"/>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next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qFormat/>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 w:type="paragraph" w:customStyle="1" w:styleId="27">
    <w:name w:val="表格内容"/>
    <w:qFormat/>
    <w:uiPriority w:val="0"/>
    <w:pPr>
      <w:widowControl w:val="0"/>
      <w:spacing w:line="360" w:lineRule="auto"/>
    </w:pPr>
    <w:rPr>
      <w:rFonts w:asciiTheme="majorHAnsi" w:hAnsiTheme="majorHAnsi" w:eastAsiaTheme="minorEastAsia" w:cstheme="majorBidi"/>
      <w:bCs/>
      <w:sz w:val="21"/>
      <w:szCs w:val="32"/>
      <w:lang w:val="en-US" w:eastAsia="zh-CN" w:bidi="ar-SA"/>
    </w:rPr>
  </w:style>
  <w:style w:type="character" w:customStyle="1" w:styleId="28">
    <w:name w:val="表格内容 Char"/>
    <w:basedOn w:val="12"/>
    <w:qFormat/>
    <w:uiPriority w:val="0"/>
    <w:rPr>
      <w:rFonts w:ascii="Calibri" w:hAnsi="Calibri" w:eastAsia="宋体" w:cs="Times New Roman"/>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14</TotalTime>
  <ScaleCrop>false</ScaleCrop>
  <LinksUpToDate>false</LinksUpToDate>
  <CharactersWithSpaces>6900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2023-11-13T02:52:27Z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2EC6AC3CF5E64E01AAF0A9AC41F2CCF8_13</vt:lpwstr>
  </property>
</Properties>
</file>